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5004"/>
        <w:gridCol w:w="1566"/>
      </w:tblGrid>
      <w:tr w:rsidR="002E29D0" w:rsidRPr="000D29A9" w:rsidTr="001145CD">
        <w:tc>
          <w:tcPr>
            <w:tcW w:w="3284" w:type="dxa"/>
            <w:tcBorders>
              <w:top w:val="nil"/>
              <w:left w:val="nil"/>
              <w:bottom w:val="nil"/>
              <w:right w:val="nil"/>
            </w:tcBorders>
          </w:tcPr>
          <w:p w:rsidR="002E29D0" w:rsidRPr="000D29A9" w:rsidRDefault="002E29D0" w:rsidP="001145CD">
            <w:pPr>
              <w:pStyle w:val="Galvene"/>
              <w:rPr>
                <w:b/>
                <w:bCs/>
                <w:lang w:val="lv-LV"/>
              </w:rPr>
            </w:pPr>
            <w:r w:rsidRPr="000D29A9">
              <w:rPr>
                <w:b/>
                <w:bCs/>
                <w:lang w:val="lv-LV"/>
              </w:rPr>
              <w:t xml:space="preserve">                                                                           </w:t>
            </w:r>
            <w:r>
              <w:rPr>
                <w:b/>
                <w:bCs/>
                <w:noProof/>
                <w:lang w:val="lv-LV" w:eastAsia="lv-LV"/>
              </w:rPr>
              <w:drawing>
                <wp:inline distT="0" distB="0" distL="0" distR="0">
                  <wp:extent cx="781050" cy="523875"/>
                  <wp:effectExtent l="19050" t="0" r="0" b="0"/>
                  <wp:docPr id="1" name="Picture 1" descr="C:\Documents and Settings\gkrusts\My Documents\0-0-0-0-DP-DPP\ESF_pilnais_m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krusts\My Documents\0-0-0-0-DP-DPP\ESF_pilnais_mb_JPG.jpg"/>
                          <pic:cNvPicPr>
                            <a:picLocks noChangeAspect="1" noChangeArrowheads="1"/>
                          </pic:cNvPicPr>
                        </pic:nvPicPr>
                        <pic:blipFill>
                          <a:blip r:embed="rId5" cstate="print"/>
                          <a:srcRect/>
                          <a:stretch>
                            <a:fillRect/>
                          </a:stretch>
                        </pic:blipFill>
                        <pic:spPr bwMode="auto">
                          <a:xfrm>
                            <a:off x="0" y="0"/>
                            <a:ext cx="781050" cy="523875"/>
                          </a:xfrm>
                          <a:prstGeom prst="rect">
                            <a:avLst/>
                          </a:prstGeom>
                          <a:noFill/>
                          <a:ln w="9525">
                            <a:noFill/>
                            <a:miter lim="800000"/>
                            <a:headEnd/>
                            <a:tailEnd/>
                          </a:ln>
                        </pic:spPr>
                      </pic:pic>
                    </a:graphicData>
                  </a:graphic>
                </wp:inline>
              </w:drawing>
            </w:r>
            <w:r>
              <w:rPr>
                <w:b/>
                <w:bCs/>
                <w:noProof/>
                <w:lang w:val="lv-LV" w:eastAsia="lv-LV"/>
              </w:rPr>
              <w:drawing>
                <wp:inline distT="0" distB="0" distL="0" distR="0">
                  <wp:extent cx="857250" cy="552450"/>
                  <wp:effectExtent l="19050" t="0" r="0" b="0"/>
                  <wp:docPr id="2" name="Picture 2" descr="C:\Documents and Settings\gkrusts\My Documents\0-0-0-0-DP-DPP\ES_melnba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krusts\My Documents\0-0-0-0-DP-DPP\ES_melnbalts.jpg"/>
                          <pic:cNvPicPr>
                            <a:picLocks noChangeAspect="1" noChangeArrowheads="1"/>
                          </pic:cNvPicPr>
                        </pic:nvPicPr>
                        <pic:blipFill>
                          <a:blip r:embed="rId6" cstate="print"/>
                          <a:srcRect/>
                          <a:stretch>
                            <a:fillRect/>
                          </a:stretch>
                        </pic:blipFill>
                        <pic:spPr bwMode="auto">
                          <a:xfrm>
                            <a:off x="0" y="0"/>
                            <a:ext cx="857250" cy="552450"/>
                          </a:xfrm>
                          <a:prstGeom prst="rect">
                            <a:avLst/>
                          </a:prstGeom>
                          <a:noFill/>
                          <a:ln w="9525">
                            <a:noFill/>
                            <a:miter lim="800000"/>
                            <a:headEnd/>
                            <a:tailEnd/>
                          </a:ln>
                        </pic:spPr>
                      </pic:pic>
                    </a:graphicData>
                  </a:graphic>
                </wp:inline>
              </w:drawing>
            </w:r>
          </w:p>
        </w:tc>
        <w:tc>
          <w:tcPr>
            <w:tcW w:w="5004" w:type="dxa"/>
            <w:tcBorders>
              <w:top w:val="nil"/>
              <w:left w:val="nil"/>
              <w:bottom w:val="nil"/>
              <w:right w:val="nil"/>
            </w:tcBorders>
          </w:tcPr>
          <w:p w:rsidR="002E29D0" w:rsidRPr="000D29A9" w:rsidRDefault="002E29D0" w:rsidP="001145CD">
            <w:pPr>
              <w:pStyle w:val="Galvene"/>
              <w:rPr>
                <w:b/>
                <w:bCs/>
                <w:lang w:val="lv-LV"/>
              </w:rPr>
            </w:pPr>
          </w:p>
        </w:tc>
        <w:tc>
          <w:tcPr>
            <w:tcW w:w="1566" w:type="dxa"/>
            <w:tcBorders>
              <w:top w:val="nil"/>
              <w:left w:val="nil"/>
              <w:bottom w:val="nil"/>
              <w:right w:val="nil"/>
            </w:tcBorders>
          </w:tcPr>
          <w:p w:rsidR="002E29D0" w:rsidRPr="000D29A9" w:rsidRDefault="002E29D0" w:rsidP="001145CD">
            <w:pPr>
              <w:pStyle w:val="Galvene"/>
              <w:rPr>
                <w:b/>
                <w:bCs/>
                <w:lang w:val="lv-LV"/>
              </w:rPr>
            </w:pPr>
          </w:p>
        </w:tc>
      </w:tr>
    </w:tbl>
    <w:p w:rsidR="002E29D0" w:rsidRPr="002950DB" w:rsidRDefault="002E29D0" w:rsidP="002E29D0">
      <w:pPr>
        <w:jc w:val="center"/>
        <w:rPr>
          <w:rFonts w:ascii="Tahoma" w:hAnsi="Tahoma"/>
          <w:szCs w:val="24"/>
        </w:rPr>
      </w:pPr>
      <w:r w:rsidRPr="002950DB">
        <w:rPr>
          <w:rFonts w:ascii="Tahoma" w:hAnsi="Tahoma"/>
          <w:szCs w:val="24"/>
        </w:rPr>
        <w:t>LATVIJAS REPUBLIKA</w:t>
      </w:r>
    </w:p>
    <w:p w:rsidR="002E29D0" w:rsidRPr="002950DB" w:rsidRDefault="002E29D0" w:rsidP="002E29D0">
      <w:pPr>
        <w:jc w:val="center"/>
        <w:rPr>
          <w:rFonts w:ascii="Tahoma" w:hAnsi="Tahoma"/>
          <w:szCs w:val="24"/>
        </w:rPr>
      </w:pPr>
      <w:r w:rsidRPr="002950DB">
        <w:rPr>
          <w:rFonts w:ascii="Tahoma" w:hAnsi="Tahoma"/>
          <w:szCs w:val="24"/>
        </w:rPr>
        <w:t>IZGLĪTĪBAS UN ZINĀTNES MINISTRIJA</w:t>
      </w:r>
    </w:p>
    <w:p w:rsidR="002E29D0" w:rsidRPr="002950DB" w:rsidRDefault="002E29D0" w:rsidP="002E29D0">
      <w:pPr>
        <w:pStyle w:val="Virsraksts1"/>
        <w:rPr>
          <w:rFonts w:ascii="Tahoma" w:hAnsi="Tahoma" w:cs="Tahoma"/>
          <w:sz w:val="28"/>
          <w:szCs w:val="28"/>
        </w:rPr>
      </w:pPr>
      <w:r w:rsidRPr="002950DB">
        <w:rPr>
          <w:rFonts w:ascii="Tahoma" w:hAnsi="Tahoma" w:cs="Tahoma"/>
          <w:sz w:val="28"/>
          <w:szCs w:val="28"/>
        </w:rPr>
        <w:t xml:space="preserve">KULDĪGAS TEHNOLOĢIJU UN TŪRISMA </w:t>
      </w:r>
    </w:p>
    <w:p w:rsidR="002E29D0" w:rsidRPr="002950DB" w:rsidRDefault="004D431E" w:rsidP="002E29D0">
      <w:pPr>
        <w:pStyle w:val="Virsraksts1"/>
        <w:rPr>
          <w:rFonts w:ascii="Tahoma" w:hAnsi="Tahoma" w:cs="Tahoma"/>
          <w:sz w:val="28"/>
          <w:szCs w:val="28"/>
        </w:rPr>
      </w:pPr>
      <w:r>
        <w:rPr>
          <w:rFonts w:ascii="Tahoma" w:hAnsi="Tahoma" w:cs="Tahoma"/>
          <w:sz w:val="28"/>
          <w:szCs w:val="28"/>
        </w:rPr>
        <w:t>TEHNIKUMS</w:t>
      </w:r>
    </w:p>
    <w:p w:rsidR="002E29D0" w:rsidRPr="004C06BB" w:rsidRDefault="002E29D0" w:rsidP="002E29D0">
      <w:pPr>
        <w:jc w:val="center"/>
        <w:rPr>
          <w:rFonts w:ascii="Tahoma" w:hAnsi="Tahoma" w:cs="Tahoma"/>
          <w:sz w:val="20"/>
        </w:rPr>
      </w:pPr>
      <w:proofErr w:type="spellStart"/>
      <w:r w:rsidRPr="004C06BB">
        <w:rPr>
          <w:rFonts w:ascii="Tahoma" w:hAnsi="Tahoma" w:cs="Tahoma"/>
          <w:sz w:val="20"/>
        </w:rPr>
        <w:t>Reģ</w:t>
      </w:r>
      <w:proofErr w:type="spellEnd"/>
      <w:r w:rsidRPr="004C06BB">
        <w:rPr>
          <w:rFonts w:ascii="Tahoma" w:hAnsi="Tahoma" w:cs="Tahoma"/>
          <w:sz w:val="20"/>
        </w:rPr>
        <w:t xml:space="preserve">. Nr.90000035711, Liepājas 31, KULDĪGĀ, LV-3301, tālr. 63322570, </w:t>
      </w:r>
    </w:p>
    <w:p w:rsidR="002E29D0" w:rsidRPr="004C06BB" w:rsidRDefault="002E29D0" w:rsidP="002E29D0">
      <w:pPr>
        <w:jc w:val="center"/>
        <w:rPr>
          <w:rFonts w:ascii="Tahoma" w:hAnsi="Tahoma" w:cs="Tahoma"/>
          <w:i/>
          <w:spacing w:val="60"/>
          <w:sz w:val="20"/>
        </w:rPr>
      </w:pPr>
      <w:r w:rsidRPr="004C06BB">
        <w:rPr>
          <w:rFonts w:ascii="Tahoma" w:hAnsi="Tahoma" w:cs="Tahoma"/>
          <w:sz w:val="20"/>
        </w:rPr>
        <w:t>tālr./fakss 63324082</w:t>
      </w:r>
    </w:p>
    <w:p w:rsidR="002E29D0" w:rsidRPr="00EB37F1" w:rsidRDefault="002E29D0" w:rsidP="002E29D0">
      <w:pPr>
        <w:pStyle w:val="Virsraksts2"/>
        <w:rPr>
          <w:lang w:val="lv-LV"/>
        </w:rPr>
      </w:pPr>
      <w:r w:rsidRPr="00EB37F1">
        <w:rPr>
          <w:lang w:val="lv-LV"/>
        </w:rPr>
        <w:t>_________________________________________________________</w:t>
      </w:r>
    </w:p>
    <w:p w:rsidR="002E29D0" w:rsidRDefault="002E29D0" w:rsidP="00E73803">
      <w:pPr>
        <w:jc w:val="center"/>
        <w:rPr>
          <w:rFonts w:ascii="Times New Roman" w:hAnsi="Times New Roman" w:cs="Times New Roman"/>
          <w:b/>
          <w:sz w:val="28"/>
          <w:szCs w:val="28"/>
        </w:rPr>
      </w:pPr>
    </w:p>
    <w:p w:rsidR="00BE3DF1" w:rsidRPr="0023408F" w:rsidRDefault="00C15753" w:rsidP="00E73803">
      <w:pPr>
        <w:jc w:val="center"/>
        <w:rPr>
          <w:rFonts w:ascii="Times New Roman" w:hAnsi="Times New Roman" w:cs="Times New Roman"/>
          <w:b/>
          <w:sz w:val="28"/>
          <w:szCs w:val="28"/>
        </w:rPr>
      </w:pPr>
      <w:proofErr w:type="spellStart"/>
      <w:r w:rsidRPr="0023408F">
        <w:rPr>
          <w:rFonts w:ascii="Times New Roman" w:hAnsi="Times New Roman" w:cs="Times New Roman"/>
          <w:b/>
          <w:sz w:val="28"/>
          <w:szCs w:val="28"/>
        </w:rPr>
        <w:t>Mērķstipendijas</w:t>
      </w:r>
      <w:proofErr w:type="spellEnd"/>
      <w:r w:rsidRPr="0023408F">
        <w:rPr>
          <w:rFonts w:ascii="Times New Roman" w:hAnsi="Times New Roman" w:cs="Times New Roman"/>
          <w:b/>
          <w:sz w:val="28"/>
          <w:szCs w:val="28"/>
        </w:rPr>
        <w:t xml:space="preserve"> piešķiršanas nolikums</w:t>
      </w:r>
    </w:p>
    <w:p w:rsidR="00C15753" w:rsidRPr="0023408F" w:rsidRDefault="00C15753" w:rsidP="00E73803">
      <w:pPr>
        <w:jc w:val="center"/>
        <w:rPr>
          <w:rFonts w:ascii="Times New Roman" w:hAnsi="Times New Roman" w:cs="Times New Roman"/>
          <w:b/>
          <w:sz w:val="28"/>
          <w:szCs w:val="28"/>
        </w:rPr>
      </w:pPr>
      <w:r w:rsidRPr="0023408F">
        <w:rPr>
          <w:rFonts w:ascii="Times New Roman" w:hAnsi="Times New Roman" w:cs="Times New Roman"/>
          <w:b/>
          <w:sz w:val="28"/>
          <w:szCs w:val="28"/>
        </w:rPr>
        <w:t>Kuldīgas Tehnoloģiju un tūrisma tehnikuma izglītojamiem</w:t>
      </w:r>
    </w:p>
    <w:p w:rsidR="00D242C2" w:rsidRPr="002E29D0" w:rsidRDefault="000F770B" w:rsidP="00E73803">
      <w:pPr>
        <w:jc w:val="center"/>
        <w:rPr>
          <w:rFonts w:ascii="Times New Roman" w:hAnsi="Times New Roman" w:cs="Times New Roman"/>
          <w:b/>
        </w:rPr>
      </w:pPr>
      <w:r w:rsidRPr="002E29D0">
        <w:rPr>
          <w:rFonts w:ascii="Times New Roman" w:hAnsi="Times New Roman" w:cs="Times New Roman"/>
          <w:b/>
        </w:rPr>
        <w:t xml:space="preserve">Eiropas Sociālā fonda darbības programmas </w:t>
      </w:r>
      <w:r w:rsidR="00D242C2" w:rsidRPr="002E29D0">
        <w:rPr>
          <w:rFonts w:ascii="Times New Roman" w:hAnsi="Times New Roman" w:cs="Times New Roman"/>
          <w:b/>
        </w:rPr>
        <w:t>„Cilvēkresursi un nodarbinātība” papildinājuma 1.2.1.1.4.apakšaktivitātes „Sākotnējās profesionālās izglītības pievilcības veicināšana” projekta „Sākotnējās profesionālās izglītības pievilcības veicināšana” (Vienošanās Nr.</w:t>
      </w:r>
      <w:r w:rsidR="004D06FD" w:rsidRPr="002E29D0">
        <w:rPr>
          <w:rFonts w:ascii="Times New Roman" w:hAnsi="Times New Roman" w:cs="Times New Roman"/>
          <w:b/>
        </w:rPr>
        <w:t>2009/0001/1DP/1.2.1.1.4/08/IPIA/VIAA/001) īstenošanai</w:t>
      </w:r>
    </w:p>
    <w:p w:rsidR="00C15753" w:rsidRPr="00501171" w:rsidRDefault="00D242C2" w:rsidP="00E73803">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00C15753" w:rsidRPr="00501171">
        <w:rPr>
          <w:rFonts w:ascii="Times New Roman" w:hAnsi="Times New Roman" w:cs="Times New Roman"/>
          <w:b/>
          <w:sz w:val="24"/>
          <w:szCs w:val="24"/>
        </w:rPr>
        <w:t>Vispārīgie jautājumi</w:t>
      </w:r>
    </w:p>
    <w:p w:rsidR="00BD0929" w:rsidRDefault="00BD0929" w:rsidP="00E73803">
      <w:pPr>
        <w:pStyle w:val="Sarakstarindkopa"/>
        <w:numPr>
          <w:ilvl w:val="0"/>
          <w:numId w:val="2"/>
        </w:numPr>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piešķiršanas nolikums ir izstrādāts saskaņā ar Ministru kabineta 2008.gada 21.jūlija noteikumu Nr.578 „Noteikumi par darbības programmas „Cilvēkresursi un nodarbinātība” papildinājuma 1.2.1.1.4.apakšaktivitāti „Sākotnējās profesionālās izglītības pievilcības veicināšana”” 66.1.apakšpunktu un līgumam starp Izglītības un zinātnes ministriju (turpmāk – ministrija) un </w:t>
      </w:r>
      <w:r w:rsidR="00EB37F1">
        <w:rPr>
          <w:rFonts w:ascii="Times New Roman" w:hAnsi="Times New Roman" w:cs="Times New Roman"/>
          <w:sz w:val="24"/>
          <w:szCs w:val="24"/>
        </w:rPr>
        <w:t>Kuldīgas Tehnoloģiju un tūrisma tehnikuma</w:t>
      </w:r>
      <w:r w:rsidR="00D071D9">
        <w:rPr>
          <w:rFonts w:ascii="Times New Roman" w:hAnsi="Times New Roman" w:cs="Times New Roman"/>
          <w:sz w:val="24"/>
          <w:szCs w:val="24"/>
        </w:rPr>
        <w:t xml:space="preserve"> pievienotajām vadlīnijām profesionālās i</w:t>
      </w:r>
      <w:r w:rsidR="00EB37F1">
        <w:rPr>
          <w:rFonts w:ascii="Times New Roman" w:hAnsi="Times New Roman" w:cs="Times New Roman"/>
          <w:sz w:val="24"/>
          <w:szCs w:val="24"/>
        </w:rPr>
        <w:t>zglītības iestādēm par noteikumi</w:t>
      </w:r>
      <w:r w:rsidR="00D071D9">
        <w:rPr>
          <w:rFonts w:ascii="Times New Roman" w:hAnsi="Times New Roman" w:cs="Times New Roman"/>
          <w:sz w:val="24"/>
          <w:szCs w:val="24"/>
        </w:rPr>
        <w:t xml:space="preserve">em </w:t>
      </w:r>
      <w:proofErr w:type="spellStart"/>
      <w:r w:rsidR="00D071D9">
        <w:rPr>
          <w:rFonts w:ascii="Times New Roman" w:hAnsi="Times New Roman" w:cs="Times New Roman"/>
          <w:sz w:val="24"/>
          <w:szCs w:val="24"/>
        </w:rPr>
        <w:t>mērķstipendiju</w:t>
      </w:r>
      <w:proofErr w:type="spellEnd"/>
      <w:r w:rsidR="00D071D9">
        <w:rPr>
          <w:rFonts w:ascii="Times New Roman" w:hAnsi="Times New Roman" w:cs="Times New Roman"/>
          <w:sz w:val="24"/>
          <w:szCs w:val="24"/>
        </w:rPr>
        <w:t xml:space="preserve"> piešķiršanai profesionālās izglītības iestāžu izglītojamiem projekta „Sākotnējās profesionālās izglītības pievilcības veicināšana” īstenošanai.</w:t>
      </w:r>
    </w:p>
    <w:p w:rsidR="00580E60" w:rsidRDefault="00580E60" w:rsidP="00E73803">
      <w:pPr>
        <w:pStyle w:val="Sarakstarindkopa"/>
        <w:numPr>
          <w:ilvl w:val="0"/>
          <w:numId w:val="2"/>
        </w:numPr>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piešķir profesionālās izglītības iestādes izglītojamiem, kuri apgūst kādu no akreditētām profesionālās pamatizglītības, arodizglītības vai profesionālās vidējās izglītības programmām (turpmāk </w:t>
      </w:r>
      <w:r w:rsidR="00D91C23">
        <w:rPr>
          <w:rFonts w:ascii="Times New Roman" w:hAnsi="Times New Roman" w:cs="Times New Roman"/>
          <w:sz w:val="24"/>
          <w:szCs w:val="24"/>
        </w:rPr>
        <w:t>–</w:t>
      </w:r>
      <w:r>
        <w:rPr>
          <w:rFonts w:ascii="Times New Roman" w:hAnsi="Times New Roman" w:cs="Times New Roman"/>
          <w:sz w:val="24"/>
          <w:szCs w:val="24"/>
        </w:rPr>
        <w:t xml:space="preserve"> </w:t>
      </w:r>
      <w:r w:rsidR="00D91C23">
        <w:rPr>
          <w:rFonts w:ascii="Times New Roman" w:hAnsi="Times New Roman" w:cs="Times New Roman"/>
          <w:sz w:val="24"/>
          <w:szCs w:val="24"/>
        </w:rPr>
        <w:t>izglītojamais).</w:t>
      </w:r>
    </w:p>
    <w:p w:rsidR="000F1DC3" w:rsidRDefault="000F1DC3" w:rsidP="00E73803">
      <w:pPr>
        <w:pStyle w:val="Sarakstarindkopa"/>
        <w:numPr>
          <w:ilvl w:val="0"/>
          <w:numId w:val="2"/>
        </w:numPr>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izmaksas pamats ir Ministru kabineta 2008.gada 21.jūlija noteikumi Nr.578 „Noteikumi par darbības programmas „Cilvēkresursi un nodarbinātība” papildinājuma 1.2.1.1.4.apakšaktivitāti „Sākotnējās profesionālās izglītības pievilcības veicināšana”” (ar grozījumiem, kas izdarīti ar Ministru kabineta 2009.gada 14.jūlija noteikumiem Nr.771 „Grozījumi Ministru kabineta 2008.gada 21.jūlija noteikumos Nr.578 „Noteikumi par darbības programmas „Cilvēkresursi un nodarbinātība” papildinājuma 1.2.1.1.4.apakšaktivitāti „Sākotnējās profesionālās izglītības pievilcības veicināšana””, šī nolikuma 1.punktā minētais līgums un šis nolikums.</w:t>
      </w:r>
    </w:p>
    <w:p w:rsidR="00E82A87" w:rsidRDefault="00EA189D" w:rsidP="00E73803">
      <w:pPr>
        <w:pStyle w:val="Sarakstarindko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Stipendiju piešķir un izmaksā saskaņā ar profesionālās izglītības iestādes direktora rīkojumu ministrijas noteiktā termiņā</w:t>
      </w:r>
      <w:r w:rsidR="00E63557">
        <w:rPr>
          <w:rFonts w:ascii="Times New Roman" w:hAnsi="Times New Roman" w:cs="Times New Roman"/>
          <w:sz w:val="24"/>
          <w:szCs w:val="24"/>
        </w:rPr>
        <w:t xml:space="preserve">, izvērtējot izglītojamā iepriekšējā </w:t>
      </w:r>
      <w:r w:rsidR="00E82A87">
        <w:rPr>
          <w:rFonts w:ascii="Times New Roman" w:hAnsi="Times New Roman" w:cs="Times New Roman"/>
          <w:sz w:val="24"/>
          <w:szCs w:val="24"/>
        </w:rPr>
        <w:t>mēneša sekmes, mācību laika, kā arī ieguldījumu profesionālās izglītības iestādes pozitīvā tēla veidošanā.</w:t>
      </w:r>
    </w:p>
    <w:p w:rsidR="00E82A87" w:rsidRDefault="00E82A87" w:rsidP="00E73803">
      <w:pPr>
        <w:pStyle w:val="Sarakstarindko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Rīkojumā ietver šādu informāciju:</w:t>
      </w:r>
    </w:p>
    <w:p w:rsidR="00E82A87" w:rsidRDefault="00E82A87"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5.1.par kādu mēnesi </w:t>
      </w:r>
      <w:proofErr w:type="spellStart"/>
      <w:r>
        <w:rPr>
          <w:rFonts w:ascii="Times New Roman" w:hAnsi="Times New Roman" w:cs="Times New Roman"/>
          <w:sz w:val="24"/>
          <w:szCs w:val="24"/>
        </w:rPr>
        <w:t>mērķstipendija</w:t>
      </w:r>
      <w:proofErr w:type="spellEnd"/>
      <w:r>
        <w:rPr>
          <w:rFonts w:ascii="Times New Roman" w:hAnsi="Times New Roman" w:cs="Times New Roman"/>
          <w:sz w:val="24"/>
          <w:szCs w:val="24"/>
        </w:rPr>
        <w:t xml:space="preserve"> tiek piešķirta;</w:t>
      </w:r>
    </w:p>
    <w:p w:rsidR="00E82A87" w:rsidRDefault="00E82A87"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5.2.izglītības programmas nosaukums un kods;</w:t>
      </w:r>
    </w:p>
    <w:p w:rsidR="00E82A87" w:rsidRDefault="00E82A87"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5.3.mācību grupas, kursa kods;</w:t>
      </w:r>
    </w:p>
    <w:p w:rsidR="00E82A87" w:rsidRDefault="00E82A87"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5.4.izglītojamā vārds un uzvārds;</w:t>
      </w:r>
    </w:p>
    <w:p w:rsidR="00E82A87" w:rsidRDefault="00E82A87"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5.5.izglītojamā personas kods;</w:t>
      </w:r>
    </w:p>
    <w:p w:rsidR="00EA189D" w:rsidRDefault="00C40C33"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5.6.piešķirtā </w:t>
      </w:r>
      <w:proofErr w:type="spellStart"/>
      <w:r>
        <w:rPr>
          <w:rFonts w:ascii="Times New Roman" w:hAnsi="Times New Roman" w:cs="Times New Roman"/>
          <w:sz w:val="24"/>
          <w:szCs w:val="24"/>
        </w:rPr>
        <w:t>mērķstipendija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w:t>
      </w:r>
      <w:r w:rsidR="00E82A87">
        <w:rPr>
          <w:rFonts w:ascii="Times New Roman" w:hAnsi="Times New Roman" w:cs="Times New Roman"/>
          <w:sz w:val="24"/>
          <w:szCs w:val="24"/>
        </w:rPr>
        <w:t>ro</w:t>
      </w:r>
      <w:proofErr w:type="spellEnd"/>
      <w:r w:rsidR="00E82A87">
        <w:rPr>
          <w:rFonts w:ascii="Times New Roman" w:hAnsi="Times New Roman" w:cs="Times New Roman"/>
          <w:sz w:val="24"/>
          <w:szCs w:val="24"/>
        </w:rPr>
        <w:t>;</w:t>
      </w:r>
    </w:p>
    <w:p w:rsidR="00E82A87" w:rsidRDefault="00E82A87"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5.7.rīkojuma izdošanas pamatojums.</w:t>
      </w:r>
    </w:p>
    <w:p w:rsidR="002E29D0" w:rsidRDefault="002E29D0" w:rsidP="00E73803">
      <w:pPr>
        <w:pStyle w:val="Sarakstarindkopa"/>
        <w:ind w:left="0"/>
        <w:jc w:val="both"/>
        <w:rPr>
          <w:rFonts w:ascii="Times New Roman" w:hAnsi="Times New Roman" w:cs="Times New Roman"/>
          <w:sz w:val="24"/>
          <w:szCs w:val="24"/>
        </w:rPr>
      </w:pPr>
    </w:p>
    <w:p w:rsidR="00C15753" w:rsidRPr="00D242C2" w:rsidRDefault="00C15753" w:rsidP="00E73803">
      <w:pPr>
        <w:pStyle w:val="Sarakstarindkopa"/>
        <w:numPr>
          <w:ilvl w:val="0"/>
          <w:numId w:val="3"/>
        </w:numPr>
        <w:ind w:left="0" w:firstLine="0"/>
        <w:jc w:val="both"/>
        <w:rPr>
          <w:rFonts w:ascii="Times New Roman" w:hAnsi="Times New Roman" w:cs="Times New Roman"/>
          <w:b/>
          <w:sz w:val="24"/>
          <w:szCs w:val="24"/>
        </w:rPr>
      </w:pPr>
      <w:proofErr w:type="spellStart"/>
      <w:r w:rsidRPr="00D242C2">
        <w:rPr>
          <w:rFonts w:ascii="Times New Roman" w:hAnsi="Times New Roman" w:cs="Times New Roman"/>
          <w:b/>
          <w:sz w:val="24"/>
          <w:szCs w:val="24"/>
        </w:rPr>
        <w:t>Mērķstipendijas</w:t>
      </w:r>
      <w:proofErr w:type="spellEnd"/>
      <w:r w:rsidRPr="00D242C2">
        <w:rPr>
          <w:rFonts w:ascii="Times New Roman" w:hAnsi="Times New Roman" w:cs="Times New Roman"/>
          <w:b/>
          <w:sz w:val="24"/>
          <w:szCs w:val="24"/>
        </w:rPr>
        <w:t xml:space="preserve"> piešķiršanas kārtība</w:t>
      </w:r>
    </w:p>
    <w:p w:rsidR="006F3D34" w:rsidRDefault="006F3D34" w:rsidP="00E73803">
      <w:pPr>
        <w:pStyle w:val="Sarakstarindko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Direktors izveido profesionālās izglītības iestādes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piešķiršanas komisiju (turpmāk – komisija) šādā sastāvā:</w:t>
      </w:r>
    </w:p>
    <w:p w:rsidR="006F3D34" w:rsidRDefault="006F3D34"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6.1.direktores vietniece mācību darbā  - komisijas priekšsēdētājs, projekta koordinators;</w:t>
      </w:r>
    </w:p>
    <w:p w:rsidR="006F3D34" w:rsidRDefault="006F3D34"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6.2.direktores vietniece audzināšanas darbā  - projekta koordinatora asistente</w:t>
      </w:r>
      <w:r w:rsidR="0055608D">
        <w:rPr>
          <w:rFonts w:ascii="Times New Roman" w:hAnsi="Times New Roman" w:cs="Times New Roman"/>
          <w:sz w:val="24"/>
          <w:szCs w:val="24"/>
        </w:rPr>
        <w:t>;</w:t>
      </w:r>
    </w:p>
    <w:p w:rsidR="0055608D" w:rsidRDefault="0055608D"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6.3.divi pedagoģiskā personāla pārstāvji;</w:t>
      </w:r>
    </w:p>
    <w:p w:rsidR="0055608D" w:rsidRDefault="0055608D"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6.4.divi izglītojamo pašpārvaldes pārstāvji.</w:t>
      </w:r>
    </w:p>
    <w:p w:rsidR="006F3D34" w:rsidRDefault="00F05BB3" w:rsidP="00E73803">
      <w:pPr>
        <w:pStyle w:val="Sarakstarindko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Komisijas darbā kā novērotājs var piedalīties projekta vadības vienības pārstāvis vai projekta reģionālais koordinators.</w:t>
      </w:r>
    </w:p>
    <w:p w:rsidR="008B1360" w:rsidRDefault="008B1360" w:rsidP="00E73803">
      <w:pPr>
        <w:pStyle w:val="Sarakstarindko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Komisija lēmumu par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apmēru katram izglītojamam attiecīgajā kalendārajā mēnesī, ne vairāk kā desmit mēnešus gadā, ietver protokolā.</w:t>
      </w:r>
    </w:p>
    <w:p w:rsidR="008B1360" w:rsidRDefault="008B1360" w:rsidP="00E73803">
      <w:pPr>
        <w:pStyle w:val="Sarakstarindkopa"/>
        <w:numPr>
          <w:ilvl w:val="0"/>
          <w:numId w:val="2"/>
        </w:numPr>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piešķiršanas komisijas sēdes protokolā ietver šādu informāciju:</w:t>
      </w:r>
    </w:p>
    <w:p w:rsidR="008B1360" w:rsidRDefault="008B1360"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9.1.par kādu mēnesi </w:t>
      </w:r>
      <w:proofErr w:type="spellStart"/>
      <w:r>
        <w:rPr>
          <w:rFonts w:ascii="Times New Roman" w:hAnsi="Times New Roman" w:cs="Times New Roman"/>
          <w:sz w:val="24"/>
          <w:szCs w:val="24"/>
        </w:rPr>
        <w:t>mērķstipendija</w:t>
      </w:r>
      <w:proofErr w:type="spellEnd"/>
      <w:r>
        <w:rPr>
          <w:rFonts w:ascii="Times New Roman" w:hAnsi="Times New Roman" w:cs="Times New Roman"/>
          <w:sz w:val="24"/>
          <w:szCs w:val="24"/>
        </w:rPr>
        <w:t xml:space="preserve"> tiek noteikta;</w:t>
      </w:r>
    </w:p>
    <w:p w:rsidR="008B1360" w:rsidRDefault="008B1360"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9.2.</w:t>
      </w:r>
      <w:r w:rsidRPr="008B1360">
        <w:rPr>
          <w:rFonts w:ascii="Times New Roman" w:hAnsi="Times New Roman" w:cs="Times New Roman"/>
          <w:sz w:val="24"/>
          <w:szCs w:val="24"/>
        </w:rPr>
        <w:t xml:space="preserve"> </w:t>
      </w:r>
      <w:r>
        <w:rPr>
          <w:rFonts w:ascii="Times New Roman" w:hAnsi="Times New Roman" w:cs="Times New Roman"/>
          <w:sz w:val="24"/>
          <w:szCs w:val="24"/>
        </w:rPr>
        <w:t>izglītības programmas nosaukums un kods;</w:t>
      </w:r>
    </w:p>
    <w:p w:rsidR="008B1360" w:rsidRDefault="008B1360"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9.3.kurss, mācību grupas kods</w:t>
      </w:r>
      <w:r w:rsidR="00720D3B">
        <w:rPr>
          <w:rFonts w:ascii="Times New Roman" w:hAnsi="Times New Roman" w:cs="Times New Roman"/>
          <w:sz w:val="24"/>
          <w:szCs w:val="24"/>
        </w:rPr>
        <w:t>;</w:t>
      </w:r>
    </w:p>
    <w:p w:rsidR="00720D3B" w:rsidRDefault="00720D3B"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9.4.</w:t>
      </w:r>
      <w:r w:rsidRPr="00720D3B">
        <w:rPr>
          <w:rFonts w:ascii="Times New Roman" w:hAnsi="Times New Roman" w:cs="Times New Roman"/>
          <w:sz w:val="24"/>
          <w:szCs w:val="24"/>
        </w:rPr>
        <w:t xml:space="preserve"> </w:t>
      </w:r>
      <w:r>
        <w:rPr>
          <w:rFonts w:ascii="Times New Roman" w:hAnsi="Times New Roman" w:cs="Times New Roman"/>
          <w:sz w:val="24"/>
          <w:szCs w:val="24"/>
        </w:rPr>
        <w:t>izglītojamā vārds un uzvārds;</w:t>
      </w:r>
    </w:p>
    <w:p w:rsidR="00720D3B" w:rsidRDefault="00720D3B"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9.5.</w:t>
      </w:r>
      <w:r w:rsidR="00864CBD">
        <w:rPr>
          <w:rFonts w:ascii="Times New Roman" w:hAnsi="Times New Roman" w:cs="Times New Roman"/>
          <w:sz w:val="24"/>
          <w:szCs w:val="24"/>
        </w:rPr>
        <w:t xml:space="preserve">mērķstipendijas piešķiršanas skaidrojums – iepriekšējā </w:t>
      </w:r>
      <w:r w:rsidR="00F6287D">
        <w:rPr>
          <w:rFonts w:ascii="Times New Roman" w:hAnsi="Times New Roman" w:cs="Times New Roman"/>
          <w:sz w:val="24"/>
          <w:szCs w:val="24"/>
        </w:rPr>
        <w:t>mēneša sekmju vidējais vērtējums, ne</w:t>
      </w:r>
      <w:r w:rsidR="00BB41A8">
        <w:rPr>
          <w:rFonts w:ascii="Times New Roman" w:hAnsi="Times New Roman" w:cs="Times New Roman"/>
          <w:sz w:val="24"/>
          <w:szCs w:val="24"/>
        </w:rPr>
        <w:t xml:space="preserve">attaisnoto mācību kavējumu skaits, </w:t>
      </w:r>
      <w:proofErr w:type="spellStart"/>
      <w:r w:rsidR="00BB41A8">
        <w:rPr>
          <w:rFonts w:ascii="Times New Roman" w:hAnsi="Times New Roman" w:cs="Times New Roman"/>
          <w:sz w:val="24"/>
          <w:szCs w:val="24"/>
        </w:rPr>
        <w:t>mērķstipendijas</w:t>
      </w:r>
      <w:proofErr w:type="spellEnd"/>
      <w:r w:rsidR="00BB41A8">
        <w:rPr>
          <w:rFonts w:ascii="Times New Roman" w:hAnsi="Times New Roman" w:cs="Times New Roman"/>
          <w:sz w:val="24"/>
          <w:szCs w:val="24"/>
        </w:rPr>
        <w:t xml:space="preserve"> samazināšanas vai nepiešķiršanas iemesli u.c.</w:t>
      </w:r>
    </w:p>
    <w:p w:rsidR="00BB41A8" w:rsidRDefault="002E29D0" w:rsidP="00E73803">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9.6.mērķstipendijas apmērs </w:t>
      </w:r>
      <w:proofErr w:type="spellStart"/>
      <w:r>
        <w:rPr>
          <w:rFonts w:ascii="Times New Roman" w:hAnsi="Times New Roman" w:cs="Times New Roman"/>
          <w:sz w:val="24"/>
          <w:szCs w:val="24"/>
        </w:rPr>
        <w:t>eu</w:t>
      </w:r>
      <w:r w:rsidR="00BB41A8">
        <w:rPr>
          <w:rFonts w:ascii="Times New Roman" w:hAnsi="Times New Roman" w:cs="Times New Roman"/>
          <w:sz w:val="24"/>
          <w:szCs w:val="24"/>
        </w:rPr>
        <w:t>ro</w:t>
      </w:r>
      <w:proofErr w:type="spellEnd"/>
      <w:r w:rsidR="00BB41A8">
        <w:rPr>
          <w:rFonts w:ascii="Times New Roman" w:hAnsi="Times New Roman" w:cs="Times New Roman"/>
          <w:sz w:val="24"/>
          <w:szCs w:val="24"/>
        </w:rPr>
        <w:t>.</w:t>
      </w:r>
    </w:p>
    <w:p w:rsidR="00BB41A8" w:rsidRDefault="00BB41A8" w:rsidP="00E73803">
      <w:pPr>
        <w:pStyle w:val="Sarakstarindko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Komisijas priekšsēdētājs nodrošina ikmēneša izglītojamo informēšanu par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piešķiršanu (piešķiršanas finansējuma avots – Eiropas Sociālais fonds, kritēriji, piešķiršanas kārtība un termiņi), kā arī katram izglītojamam piešķirtās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apmēru.</w:t>
      </w:r>
    </w:p>
    <w:p w:rsidR="006A3714" w:rsidRDefault="006A3714" w:rsidP="00E73803">
      <w:pPr>
        <w:pStyle w:val="Sarakstarindko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Piešķirot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ņem vērā iepriekšējā mācību mēneša rezultātus:</w:t>
      </w:r>
    </w:p>
    <w:p w:rsidR="006A3714" w:rsidRDefault="006A3714" w:rsidP="00E73803">
      <w:pPr>
        <w:pStyle w:val="Sarakstarindkopa"/>
        <w:numPr>
          <w:ilvl w:val="1"/>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mācību un kvalifikācijas prakses laikā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piešķir pēc pēdējā teorētisko mācību rezultātu vērtējuma;</w:t>
      </w:r>
    </w:p>
    <w:p w:rsidR="006A3714" w:rsidRDefault="006A3714" w:rsidP="00E73803">
      <w:pPr>
        <w:pStyle w:val="Sarakstarindkopa"/>
        <w:numPr>
          <w:ilvl w:val="1"/>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pirmajā mēnesī pēc mācību un kvalifikācijas prakses, piešķirot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vērtē pēdējo teorētisko mācību un prakses rezultātus;</w:t>
      </w:r>
    </w:p>
    <w:p w:rsidR="006A3714" w:rsidRDefault="006A3714" w:rsidP="00E73803">
      <w:pPr>
        <w:pStyle w:val="Sarakstarindkopa"/>
        <w:numPr>
          <w:ilvl w:val="1"/>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piešķirot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par eksāmenu sesijas laiku, ņem vērā pēdējo mācību rezultātu vērtējumu, eksāmenu rezultāti netiek ņemti vērā;</w:t>
      </w:r>
    </w:p>
    <w:p w:rsidR="006A3714" w:rsidRDefault="0059360B" w:rsidP="00E73803">
      <w:pPr>
        <w:pStyle w:val="Sarakstarindkopa"/>
        <w:numPr>
          <w:ilvl w:val="1"/>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audzēkņiem, kuri saskaņā ar izglītības iestādes beigšanu tiek atskaitīti līdz mēneša 15.datumam,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par šī mēneša rezultātiem pamatsummu nosaka vienādu ar pusi no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piešķiršanas nolikumā noteiktās ikmēneša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pamatsummas;</w:t>
      </w:r>
    </w:p>
    <w:p w:rsidR="006A3714" w:rsidRDefault="0059360B" w:rsidP="00E73803">
      <w:pPr>
        <w:pStyle w:val="Sarakstarindkopa"/>
        <w:numPr>
          <w:ilvl w:val="1"/>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audzēkņi, kuri uzsāk dalību projektā pēc mēneša 15.datuma,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par šī mēneša rezultātiem pamatsummu nosaka vienādu ar pusi no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piešķiršanas nolikumā noteiktās ikmēneša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pamatsummas.</w:t>
      </w:r>
    </w:p>
    <w:p w:rsidR="006A3714" w:rsidRDefault="0059360B" w:rsidP="00C40C33">
      <w:pPr>
        <w:pStyle w:val="Sarakstarindkopa"/>
        <w:numPr>
          <w:ilvl w:val="0"/>
          <w:numId w:val="2"/>
        </w:numPr>
        <w:ind w:left="0" w:firstLine="0"/>
        <w:rPr>
          <w:rFonts w:ascii="Times New Roman" w:hAnsi="Times New Roman" w:cs="Times New Roman"/>
          <w:sz w:val="24"/>
          <w:szCs w:val="24"/>
        </w:rPr>
      </w:pP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par septembra mācību rezultātiem izmaksā oktobrī.</w:t>
      </w:r>
    </w:p>
    <w:p w:rsidR="000606CC" w:rsidRDefault="000606CC" w:rsidP="00BB41A8">
      <w:pPr>
        <w:pStyle w:val="Sarakstarindkopa"/>
        <w:numPr>
          <w:ilvl w:val="0"/>
          <w:numId w:val="2"/>
        </w:numPr>
        <w:ind w:left="0" w:firstLine="0"/>
        <w:rPr>
          <w:rFonts w:ascii="Times New Roman" w:hAnsi="Times New Roman" w:cs="Times New Roman"/>
          <w:sz w:val="24"/>
          <w:szCs w:val="24"/>
        </w:rPr>
      </w:pPr>
      <w:r>
        <w:rPr>
          <w:rFonts w:ascii="Times New Roman" w:hAnsi="Times New Roman" w:cs="Times New Roman"/>
          <w:sz w:val="24"/>
          <w:szCs w:val="24"/>
        </w:rPr>
        <w:t xml:space="preserve">Ja izglītojamais zaudē tiesības saņemt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līdz rīkojuma izdošanai par tās piešķiršanu,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neizmaksā.</w:t>
      </w:r>
    </w:p>
    <w:p w:rsidR="00C40C33" w:rsidRDefault="00C40C33" w:rsidP="00C40C33">
      <w:pPr>
        <w:pStyle w:val="Sarakstarindkopa"/>
        <w:ind w:left="0"/>
        <w:rPr>
          <w:rFonts w:ascii="Times New Roman" w:hAnsi="Times New Roman" w:cs="Times New Roman"/>
          <w:sz w:val="24"/>
          <w:szCs w:val="24"/>
        </w:rPr>
      </w:pPr>
    </w:p>
    <w:p w:rsidR="006F3D34" w:rsidRDefault="00C40C33" w:rsidP="00C40C33">
      <w:pPr>
        <w:pStyle w:val="Sarakstarindkopa"/>
        <w:numPr>
          <w:ilvl w:val="0"/>
          <w:numId w:val="3"/>
        </w:numPr>
        <w:rPr>
          <w:rFonts w:ascii="Times New Roman" w:hAnsi="Times New Roman" w:cs="Times New Roman"/>
          <w:b/>
          <w:sz w:val="24"/>
          <w:szCs w:val="24"/>
        </w:rPr>
      </w:pPr>
      <w:proofErr w:type="spellStart"/>
      <w:r w:rsidRPr="00C40C33">
        <w:rPr>
          <w:rFonts w:ascii="Times New Roman" w:hAnsi="Times New Roman" w:cs="Times New Roman"/>
          <w:b/>
          <w:sz w:val="24"/>
          <w:szCs w:val="24"/>
        </w:rPr>
        <w:t>Mērķstipendijas</w:t>
      </w:r>
      <w:proofErr w:type="spellEnd"/>
      <w:r w:rsidRPr="00C40C33">
        <w:rPr>
          <w:rFonts w:ascii="Times New Roman" w:hAnsi="Times New Roman" w:cs="Times New Roman"/>
          <w:b/>
          <w:sz w:val="24"/>
          <w:szCs w:val="24"/>
        </w:rPr>
        <w:t xml:space="preserve"> apmērs</w:t>
      </w:r>
    </w:p>
    <w:p w:rsidR="00C40C33" w:rsidRPr="00C40C33" w:rsidRDefault="00C40C33" w:rsidP="00C40C33">
      <w:pPr>
        <w:pStyle w:val="Sarakstarindkopa"/>
        <w:ind w:left="0"/>
        <w:jc w:val="both"/>
        <w:rPr>
          <w:rFonts w:ascii="Times New Roman" w:eastAsia="Times New Roman" w:hAnsi="Times New Roman" w:cs="Times New Roman"/>
          <w:sz w:val="24"/>
          <w:szCs w:val="24"/>
        </w:rPr>
      </w:pPr>
      <w:r w:rsidRPr="00C40C33">
        <w:rPr>
          <w:rFonts w:ascii="Times New Roman" w:eastAsia="Times New Roman" w:hAnsi="Times New Roman" w:cs="Times New Roman"/>
          <w:sz w:val="24"/>
          <w:szCs w:val="24"/>
        </w:rPr>
        <w:t xml:space="preserve">14. Piešķiramās </w:t>
      </w:r>
      <w:proofErr w:type="spellStart"/>
      <w:r w:rsidRPr="00C40C33">
        <w:rPr>
          <w:rFonts w:ascii="Times New Roman" w:eastAsia="Times New Roman" w:hAnsi="Times New Roman" w:cs="Times New Roman"/>
          <w:sz w:val="24"/>
          <w:szCs w:val="24"/>
        </w:rPr>
        <w:t>mērķstipendijas</w:t>
      </w:r>
      <w:proofErr w:type="spellEnd"/>
      <w:r w:rsidRPr="00C40C33">
        <w:rPr>
          <w:rFonts w:ascii="Times New Roman" w:eastAsia="Times New Roman" w:hAnsi="Times New Roman" w:cs="Times New Roman"/>
          <w:sz w:val="24"/>
          <w:szCs w:val="24"/>
        </w:rPr>
        <w:t xml:space="preserve"> apmērs vienam profesionālās izglītības iestādes izglītojamajam:</w:t>
      </w:r>
    </w:p>
    <w:p w:rsidR="00C40C33" w:rsidRPr="00C40C33" w:rsidRDefault="00C40C33" w:rsidP="00C40C33">
      <w:pPr>
        <w:pStyle w:val="Sarakstarindkopa"/>
        <w:ind w:left="0"/>
        <w:jc w:val="both"/>
        <w:rPr>
          <w:rFonts w:ascii="Times New Roman" w:eastAsia="Times New Roman" w:hAnsi="Times New Roman" w:cs="Times New Roman"/>
          <w:sz w:val="24"/>
          <w:szCs w:val="24"/>
        </w:rPr>
      </w:pPr>
      <w:r w:rsidRPr="00C40C33">
        <w:rPr>
          <w:rFonts w:ascii="Times New Roman" w:eastAsia="Times New Roman" w:hAnsi="Times New Roman" w:cs="Times New Roman"/>
          <w:sz w:val="24"/>
          <w:szCs w:val="24"/>
        </w:rPr>
        <w:t xml:space="preserve">14.1. pirmā kursa izglītojamiem, izņemot 14.3.apakšpunktāa noteiktajiem - no </w:t>
      </w:r>
      <w:r w:rsidRPr="00C40C33">
        <w:rPr>
          <w:rFonts w:ascii="Times New Roman" w:eastAsia="Times New Roman" w:hAnsi="Times New Roman" w:cs="Times New Roman"/>
          <w:color w:val="000000"/>
          <w:sz w:val="24"/>
          <w:szCs w:val="24"/>
        </w:rPr>
        <w:t>14,23</w:t>
      </w:r>
      <w:r w:rsidRPr="00C40C33">
        <w:rPr>
          <w:rFonts w:ascii="Times New Roman" w:eastAsia="Times New Roman" w:hAnsi="Times New Roman" w:cs="Times New Roman"/>
          <w:sz w:val="24"/>
          <w:szCs w:val="24"/>
        </w:rPr>
        <w:t xml:space="preserve"> līdz 28,46 </w:t>
      </w:r>
      <w:proofErr w:type="spellStart"/>
      <w:r w:rsidRPr="00C40C33">
        <w:rPr>
          <w:rFonts w:ascii="Times New Roman" w:eastAsia="Times New Roman" w:hAnsi="Times New Roman" w:cs="Times New Roman"/>
          <w:sz w:val="24"/>
          <w:szCs w:val="24"/>
        </w:rPr>
        <w:t>euro</w:t>
      </w:r>
      <w:proofErr w:type="spellEnd"/>
      <w:r w:rsidRPr="00C40C33">
        <w:rPr>
          <w:rFonts w:ascii="Times New Roman" w:eastAsia="Times New Roman" w:hAnsi="Times New Roman" w:cs="Times New Roman"/>
          <w:sz w:val="24"/>
          <w:szCs w:val="24"/>
        </w:rPr>
        <w:t xml:space="preserve"> mēnesī,</w:t>
      </w:r>
    </w:p>
    <w:p w:rsidR="00C40C33" w:rsidRPr="00C40C33" w:rsidRDefault="00C40C33" w:rsidP="00C40C33">
      <w:pPr>
        <w:pStyle w:val="Sarakstarindkopa"/>
        <w:ind w:left="0"/>
        <w:jc w:val="both"/>
        <w:rPr>
          <w:rFonts w:ascii="Times New Roman" w:eastAsia="Times New Roman" w:hAnsi="Times New Roman" w:cs="Times New Roman"/>
          <w:sz w:val="24"/>
          <w:szCs w:val="24"/>
        </w:rPr>
      </w:pPr>
      <w:r w:rsidRPr="00C40C33">
        <w:rPr>
          <w:rFonts w:ascii="Times New Roman" w:eastAsia="Times New Roman" w:hAnsi="Times New Roman" w:cs="Times New Roman"/>
          <w:sz w:val="24"/>
          <w:szCs w:val="24"/>
        </w:rPr>
        <w:t xml:space="preserve">14.2. otrā, trešā un ceturtā kursa izglītojamiem, izņemot 14.3.apakšpunktā noteiktajiem -  </w:t>
      </w:r>
      <w:r w:rsidRPr="00C40C33">
        <w:rPr>
          <w:rFonts w:ascii="Times New Roman" w:eastAsia="Times New Roman" w:hAnsi="Times New Roman" w:cs="Times New Roman"/>
          <w:color w:val="000000"/>
          <w:sz w:val="24"/>
          <w:szCs w:val="24"/>
        </w:rPr>
        <w:t xml:space="preserve">28,46 līdz  71,14 </w:t>
      </w:r>
      <w:proofErr w:type="spellStart"/>
      <w:r w:rsidRPr="00C40C33">
        <w:rPr>
          <w:rFonts w:ascii="Times New Roman" w:eastAsia="Times New Roman" w:hAnsi="Times New Roman" w:cs="Times New Roman"/>
          <w:color w:val="000000"/>
          <w:sz w:val="24"/>
          <w:szCs w:val="24"/>
        </w:rPr>
        <w:t>euro</w:t>
      </w:r>
      <w:proofErr w:type="spellEnd"/>
      <w:r w:rsidRPr="00C40C33">
        <w:rPr>
          <w:rFonts w:ascii="Times New Roman" w:eastAsia="Times New Roman" w:hAnsi="Times New Roman" w:cs="Times New Roman"/>
          <w:color w:val="000000"/>
          <w:sz w:val="24"/>
          <w:szCs w:val="24"/>
        </w:rPr>
        <w:t xml:space="preserve"> </w:t>
      </w:r>
      <w:r w:rsidRPr="00C40C33">
        <w:rPr>
          <w:rFonts w:ascii="Times New Roman" w:eastAsia="Times New Roman" w:hAnsi="Times New Roman" w:cs="Times New Roman"/>
          <w:sz w:val="24"/>
          <w:szCs w:val="24"/>
        </w:rPr>
        <w:t>mēnesī,</w:t>
      </w:r>
    </w:p>
    <w:p w:rsidR="00C40C33" w:rsidRDefault="00C40C33" w:rsidP="00C40C33">
      <w:pPr>
        <w:pStyle w:val="Sarakstarindkopa"/>
        <w:ind w:left="0"/>
        <w:jc w:val="both"/>
        <w:rPr>
          <w:rFonts w:ascii="Times New Roman" w:hAnsi="Times New Roman" w:cs="Times New Roman"/>
          <w:sz w:val="24"/>
          <w:szCs w:val="24"/>
        </w:rPr>
      </w:pPr>
      <w:r w:rsidRPr="00C40C33">
        <w:rPr>
          <w:rFonts w:ascii="Times New Roman" w:eastAsia="Times New Roman" w:hAnsi="Times New Roman" w:cs="Times New Roman"/>
          <w:sz w:val="24"/>
          <w:szCs w:val="24"/>
        </w:rPr>
        <w:t xml:space="preserve">14.3. </w:t>
      </w:r>
      <w:r w:rsidRPr="00C40C33">
        <w:rPr>
          <w:rFonts w:ascii="Times New Roman" w:eastAsia="Times New Roman" w:hAnsi="Times New Roman" w:cs="Times New Roman"/>
          <w:iCs/>
          <w:sz w:val="24"/>
          <w:szCs w:val="24"/>
        </w:rPr>
        <w:t xml:space="preserve">izglītojamajam, kurš Eiropas Savienības struktūrfondu </w:t>
      </w:r>
      <w:r w:rsidRPr="00C40C33">
        <w:rPr>
          <w:rFonts w:ascii="Times New Roman" w:eastAsia="Times New Roman" w:hAnsi="Times New Roman" w:cs="Times New Roman"/>
          <w:bCs/>
          <w:sz w:val="24"/>
          <w:szCs w:val="24"/>
        </w:rPr>
        <w:t xml:space="preserve">darbības programmas "Cilvēkresursi un nodarbinātība" papildinājuma 1.2.1.1.3.apakšaktivitātes "Atbalsts sākotnējās profesionālās izglītības </w:t>
      </w:r>
      <w:r w:rsidRPr="00C40C33">
        <w:rPr>
          <w:rFonts w:ascii="Times New Roman" w:eastAsia="Times New Roman" w:hAnsi="Times New Roman" w:cs="Times New Roman"/>
          <w:bCs/>
          <w:sz w:val="24"/>
          <w:szCs w:val="24"/>
        </w:rPr>
        <w:lastRenderedPageBreak/>
        <w:t xml:space="preserve">programmu īstenošanas kvalitātes uzlabošanai un īstenošanai" ietvaros </w:t>
      </w:r>
      <w:r w:rsidRPr="00C40C33">
        <w:rPr>
          <w:rFonts w:ascii="Times New Roman" w:eastAsia="Times New Roman" w:hAnsi="Times New Roman" w:cs="Times New Roman"/>
          <w:iCs/>
          <w:sz w:val="24"/>
          <w:szCs w:val="24"/>
        </w:rPr>
        <w:t xml:space="preserve">mācās profesionālās izglītības programmā (turpmāk – ESF2 izglītojamie) – no </w:t>
      </w:r>
      <w:r w:rsidRPr="00C40C33">
        <w:rPr>
          <w:rFonts w:ascii="Times New Roman" w:eastAsia="Times New Roman" w:hAnsi="Times New Roman" w:cs="Times New Roman"/>
          <w:color w:val="000000"/>
          <w:sz w:val="24"/>
          <w:szCs w:val="24"/>
        </w:rPr>
        <w:t xml:space="preserve">71.14 līdz 113,83 </w:t>
      </w:r>
      <w:proofErr w:type="spellStart"/>
      <w:r w:rsidRPr="00C40C33">
        <w:rPr>
          <w:rFonts w:ascii="Times New Roman" w:eastAsia="Times New Roman" w:hAnsi="Times New Roman" w:cs="Times New Roman"/>
          <w:color w:val="000000"/>
          <w:sz w:val="24"/>
          <w:szCs w:val="24"/>
        </w:rPr>
        <w:t>euro</w:t>
      </w:r>
      <w:proofErr w:type="spellEnd"/>
      <w:r w:rsidRPr="00C40C33">
        <w:rPr>
          <w:rFonts w:ascii="Times New Roman" w:eastAsia="Times New Roman" w:hAnsi="Times New Roman" w:cs="Times New Roman"/>
          <w:color w:val="000000"/>
          <w:sz w:val="24"/>
          <w:szCs w:val="24"/>
        </w:rPr>
        <w:t xml:space="preserve"> </w:t>
      </w:r>
      <w:r w:rsidRPr="00C40C33">
        <w:rPr>
          <w:rFonts w:ascii="Times New Roman" w:eastAsia="Times New Roman" w:hAnsi="Times New Roman" w:cs="Times New Roman"/>
          <w:iCs/>
          <w:sz w:val="24"/>
          <w:szCs w:val="24"/>
        </w:rPr>
        <w:t xml:space="preserve">mēnesī (lai nodrošinātu vienotu </w:t>
      </w:r>
      <w:r w:rsidRPr="00C40C33">
        <w:rPr>
          <w:rFonts w:ascii="Times New Roman" w:eastAsia="Times New Roman" w:hAnsi="Times New Roman" w:cs="Times New Roman"/>
          <w:sz w:val="24"/>
          <w:szCs w:val="24"/>
        </w:rPr>
        <w:t xml:space="preserve">informācijas sistēmas ASUS aprēķinu metodikas pielietojumu, izglītojamie uzsākot mācības programmā tiek ieskaitīti </w:t>
      </w:r>
      <w:r w:rsidRPr="00C40C33">
        <w:rPr>
          <w:rFonts w:ascii="Times New Roman" w:eastAsia="Times New Roman" w:hAnsi="Times New Roman" w:cs="Times New Roman"/>
          <w:sz w:val="24"/>
          <w:szCs w:val="24"/>
          <w:u w:val="single"/>
        </w:rPr>
        <w:t>otrajā</w:t>
      </w:r>
      <w:r>
        <w:rPr>
          <w:rFonts w:ascii="Times New Roman" w:hAnsi="Times New Roman" w:cs="Times New Roman"/>
          <w:sz w:val="24"/>
          <w:szCs w:val="24"/>
        </w:rPr>
        <w:t xml:space="preserve"> kursā).</w:t>
      </w:r>
    </w:p>
    <w:p w:rsidR="00C40C33" w:rsidRDefault="00C40C33" w:rsidP="00C40C33">
      <w:pPr>
        <w:pStyle w:val="Sarakstarindkopa"/>
        <w:ind w:left="0"/>
        <w:rPr>
          <w:rFonts w:ascii="Times New Roman" w:hAnsi="Times New Roman" w:cs="Times New Roman"/>
          <w:sz w:val="24"/>
          <w:szCs w:val="24"/>
        </w:rPr>
      </w:pPr>
      <w:r w:rsidRPr="00C40C33">
        <w:rPr>
          <w:rFonts w:ascii="Times New Roman" w:hAnsi="Times New Roman" w:cs="Times New Roman"/>
          <w:sz w:val="24"/>
          <w:szCs w:val="24"/>
        </w:rPr>
        <w:t xml:space="preserve">15. </w:t>
      </w:r>
      <w:proofErr w:type="spellStart"/>
      <w:r w:rsidRPr="00C40C33">
        <w:rPr>
          <w:rFonts w:ascii="Times New Roman" w:hAnsi="Times New Roman" w:cs="Times New Roman"/>
          <w:sz w:val="24"/>
          <w:szCs w:val="24"/>
        </w:rPr>
        <w:t>Mērķstipendiju</w:t>
      </w:r>
      <w:proofErr w:type="spellEnd"/>
      <w:r w:rsidRPr="00C40C33">
        <w:rPr>
          <w:rFonts w:ascii="Times New Roman" w:hAnsi="Times New Roman" w:cs="Times New Roman"/>
          <w:sz w:val="24"/>
          <w:szCs w:val="24"/>
        </w:rPr>
        <w:t xml:space="preserve"> piešķir konkursa kārtībā, ņemot vērā mācību sa</w:t>
      </w:r>
      <w:r>
        <w:rPr>
          <w:rFonts w:ascii="Times New Roman" w:hAnsi="Times New Roman" w:cs="Times New Roman"/>
          <w:sz w:val="24"/>
          <w:szCs w:val="24"/>
        </w:rPr>
        <w:t>s</w:t>
      </w:r>
      <w:r w:rsidRPr="00C40C33">
        <w:rPr>
          <w:rFonts w:ascii="Times New Roman" w:hAnsi="Times New Roman" w:cs="Times New Roman"/>
          <w:sz w:val="24"/>
          <w:szCs w:val="24"/>
        </w:rPr>
        <w:t>niegumu rezultātus un mācību stundu apmeklētību, ja izglītojamais ievēro šādus nosacījumus:</w:t>
      </w:r>
    </w:p>
    <w:p w:rsidR="00C40C33" w:rsidRDefault="00C40C33"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15.1. ikmēneša sekmju vērtējumā(atestācijā)izglītojamā mācību sasniegums katrā mācību priekšmetā novērtēts vismaz ar četrām ballēm vai ir ieskaitīts;</w:t>
      </w:r>
    </w:p>
    <w:p w:rsidR="00C40C33" w:rsidRDefault="00C72BE7"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15.2.i</w:t>
      </w:r>
      <w:r w:rsidR="00C40C33">
        <w:rPr>
          <w:rFonts w:ascii="Times New Roman" w:hAnsi="Times New Roman" w:cs="Times New Roman"/>
          <w:sz w:val="24"/>
          <w:szCs w:val="24"/>
        </w:rPr>
        <w:t>zglītojamajam nav neattaisnotu mācību stundu kavējumu vairāk par divām mācību stundām vienā mācību nedēļā(attaisnoti ir kavējumi, ko apliecina darbnespējas lapa, ārstniecības iestādes, valsts vai pašvaldību iestādes izsniegts dokuments);</w:t>
      </w:r>
    </w:p>
    <w:p w:rsidR="00C72BE7" w:rsidRDefault="00C72BE7"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15.3.izgītojamais neatrodas ieslodzījuma vietā;</w:t>
      </w:r>
    </w:p>
    <w:p w:rsidR="00C72BE7" w:rsidRDefault="00C72BE7"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15.4.izglītojamais veselības vai kāda cita iemesla dēļ neatrodas akadēmiskajā atvaļinājumā;</w:t>
      </w:r>
    </w:p>
    <w:p w:rsidR="00C72BE7" w:rsidRDefault="00C72BE7"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15.5. izglītojamā neatrodas grūtniecības un dzemdību atvaļinājumā;</w:t>
      </w:r>
    </w:p>
    <w:p w:rsidR="00C72BE7" w:rsidRDefault="00C72BE7"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15.6.papildus stipendijai, kas noteikta normatīvajos aktos par valsts budžeta finansēto stipendiju kārtību, izglītojamais nesaņem arī citu normatīvajos aktos noteiktu valsts atbalstu noteiktas nozares izglītības programmas apguvei.</w:t>
      </w:r>
    </w:p>
    <w:p w:rsidR="00C72BE7" w:rsidRDefault="00C72BE7" w:rsidP="00C72BE7">
      <w:pPr>
        <w:pStyle w:val="Sarakstarindkopa1"/>
        <w:ind w:left="0"/>
        <w:jc w:val="both"/>
        <w:rPr>
          <w:spacing w:val="5"/>
          <w:sz w:val="22"/>
          <w:szCs w:val="22"/>
        </w:rPr>
      </w:pPr>
      <w:r w:rsidRPr="001621B6">
        <w:rPr>
          <w:sz w:val="22"/>
          <w:szCs w:val="22"/>
        </w:rPr>
        <w:t xml:space="preserve">16. </w:t>
      </w:r>
      <w:proofErr w:type="spellStart"/>
      <w:r w:rsidRPr="001621B6">
        <w:rPr>
          <w:sz w:val="22"/>
          <w:szCs w:val="22"/>
        </w:rPr>
        <w:t>Mērķstipendijas</w:t>
      </w:r>
      <w:proofErr w:type="spellEnd"/>
      <w:r w:rsidRPr="001621B6">
        <w:rPr>
          <w:sz w:val="22"/>
          <w:szCs w:val="22"/>
        </w:rPr>
        <w:t xml:space="preserve"> apmēru aprēķina ievērojot </w:t>
      </w:r>
      <w:r w:rsidRPr="001621B6">
        <w:rPr>
          <w:spacing w:val="5"/>
          <w:sz w:val="22"/>
          <w:szCs w:val="22"/>
        </w:rPr>
        <w:t>iepriekšējā mēneša sekmju vidējo vērtējumu:</w:t>
      </w:r>
    </w:p>
    <w:p w:rsidR="00C72BE7" w:rsidRPr="001621B6" w:rsidRDefault="00C72BE7" w:rsidP="00C72BE7">
      <w:pPr>
        <w:pStyle w:val="Sarakstarindkopa1"/>
        <w:ind w:left="0"/>
        <w:jc w:val="both"/>
        <w:rPr>
          <w:spacing w:val="5"/>
          <w:sz w:val="22"/>
          <w:szCs w:val="22"/>
        </w:rPr>
      </w:pPr>
    </w:p>
    <w:p w:rsidR="00C72BE7" w:rsidRPr="00C72BE7" w:rsidRDefault="00C72BE7" w:rsidP="00C72BE7">
      <w:pPr>
        <w:pStyle w:val="Sarakstarindkopa1"/>
        <w:jc w:val="center"/>
      </w:pPr>
      <w:proofErr w:type="spellStart"/>
      <w:r w:rsidRPr="00C72BE7">
        <w:t>Mērķstipendijas</w:t>
      </w:r>
      <w:proofErr w:type="spellEnd"/>
      <w:r w:rsidRPr="00C72BE7">
        <w:t xml:space="preserve"> apmērs (</w:t>
      </w:r>
      <w:proofErr w:type="spellStart"/>
      <w:r w:rsidRPr="00C72BE7">
        <w:t>euro</w:t>
      </w:r>
      <w:proofErr w:type="spellEnd"/>
      <w:r w:rsidRPr="00C72BE7">
        <w:t>)</w:t>
      </w:r>
    </w:p>
    <w:p w:rsidR="00C72BE7" w:rsidRPr="00C72BE7" w:rsidRDefault="00C72BE7" w:rsidP="00C72BE7">
      <w:pPr>
        <w:ind w:firstLine="709"/>
        <w:jc w:val="right"/>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1.tabula</w:t>
      </w:r>
    </w:p>
    <w:tbl>
      <w:tblPr>
        <w:tblW w:w="9961" w:type="dxa"/>
        <w:tblInd w:w="-72" w:type="dxa"/>
        <w:tblLayout w:type="fixed"/>
        <w:tblLook w:val="04A0"/>
      </w:tblPr>
      <w:tblGrid>
        <w:gridCol w:w="1598"/>
        <w:gridCol w:w="992"/>
        <w:gridCol w:w="992"/>
        <w:gridCol w:w="1134"/>
        <w:gridCol w:w="1276"/>
        <w:gridCol w:w="2126"/>
        <w:gridCol w:w="1843"/>
      </w:tblGrid>
      <w:tr w:rsidR="00C72BE7" w:rsidRPr="00C72BE7" w:rsidTr="0023408F">
        <w:trPr>
          <w:trHeight w:val="157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spacing w:val="5"/>
              </w:rPr>
            </w:pPr>
            <w:r w:rsidRPr="00C72BE7">
              <w:rPr>
                <w:rFonts w:ascii="Times New Roman" w:eastAsia="Times New Roman" w:hAnsi="Times New Roman" w:cs="Times New Roman"/>
                <w:spacing w:val="5"/>
              </w:rPr>
              <w:t>Iepriekšējā mēneša sekmju vidējais vērtējums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rPr>
            </w:pPr>
            <w:r w:rsidRPr="00C72BE7">
              <w:rPr>
                <w:rFonts w:ascii="Times New Roman" w:eastAsia="Times New Roman" w:hAnsi="Times New Roman" w:cs="Times New Roman"/>
              </w:rPr>
              <w:t>Pamat-summa 1.kurss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rPr>
            </w:pPr>
            <w:r w:rsidRPr="00C72BE7">
              <w:rPr>
                <w:rFonts w:ascii="Times New Roman" w:eastAsia="Times New Roman" w:hAnsi="Times New Roman" w:cs="Times New Roman"/>
              </w:rPr>
              <w:t>Maksi-</w:t>
            </w:r>
            <w:proofErr w:type="spellStart"/>
            <w:r w:rsidRPr="00C72BE7">
              <w:rPr>
                <w:rFonts w:ascii="Times New Roman" w:eastAsia="Times New Roman" w:hAnsi="Times New Roman" w:cs="Times New Roman"/>
              </w:rPr>
              <w:t>mālais</w:t>
            </w:r>
            <w:proofErr w:type="spellEnd"/>
            <w:r w:rsidRPr="00C72BE7">
              <w:rPr>
                <w:rFonts w:ascii="Times New Roman" w:eastAsia="Times New Roman" w:hAnsi="Times New Roman" w:cs="Times New Roman"/>
              </w:rPr>
              <w:t xml:space="preserve"> palieli-</w:t>
            </w:r>
            <w:proofErr w:type="spellStart"/>
            <w:r w:rsidRPr="00C72BE7">
              <w:rPr>
                <w:rFonts w:ascii="Times New Roman" w:eastAsia="Times New Roman" w:hAnsi="Times New Roman" w:cs="Times New Roman"/>
              </w:rPr>
              <w:t>nājums</w:t>
            </w:r>
            <w:proofErr w:type="spellEnd"/>
            <w:r w:rsidRPr="00C72BE7">
              <w:rPr>
                <w:rFonts w:ascii="Times New Roman" w:eastAsia="Times New Roman" w:hAnsi="Times New Roman" w:cs="Times New Roman"/>
              </w:rPr>
              <w:t xml:space="preserve"> </w:t>
            </w: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C72BE7" w:rsidRPr="00C72BE7" w:rsidRDefault="00C72BE7" w:rsidP="00C72BE7">
            <w:pPr>
              <w:spacing w:after="0" w:line="240" w:lineRule="auto"/>
              <w:jc w:val="center"/>
              <w:rPr>
                <w:rFonts w:ascii="Times New Roman" w:eastAsia="Times New Roman" w:hAnsi="Times New Roman" w:cs="Times New Roman"/>
              </w:rPr>
            </w:pPr>
          </w:p>
          <w:p w:rsidR="00C72BE7" w:rsidRPr="00C72BE7" w:rsidRDefault="00C72BE7" w:rsidP="00C72BE7">
            <w:pPr>
              <w:spacing w:after="0" w:line="240" w:lineRule="auto"/>
              <w:jc w:val="center"/>
              <w:rPr>
                <w:rFonts w:ascii="Times New Roman" w:eastAsia="Times New Roman" w:hAnsi="Times New Roman" w:cs="Times New Roman"/>
              </w:rPr>
            </w:pPr>
            <w:r w:rsidRPr="00C72BE7">
              <w:rPr>
                <w:rFonts w:ascii="Times New Roman" w:eastAsia="Times New Roman" w:hAnsi="Times New Roman" w:cs="Times New Roman"/>
              </w:rPr>
              <w:t>Pamat-summa 2., 3.,4. kurss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rPr>
            </w:pPr>
            <w:r w:rsidRPr="00C72BE7">
              <w:rPr>
                <w:rFonts w:ascii="Times New Roman" w:eastAsia="Times New Roman" w:hAnsi="Times New Roman" w:cs="Times New Roman"/>
              </w:rPr>
              <w:t>Maksi-</w:t>
            </w:r>
            <w:proofErr w:type="spellStart"/>
            <w:r w:rsidRPr="00C72BE7">
              <w:rPr>
                <w:rFonts w:ascii="Times New Roman" w:eastAsia="Times New Roman" w:hAnsi="Times New Roman" w:cs="Times New Roman"/>
              </w:rPr>
              <w:t>mālais</w:t>
            </w:r>
            <w:proofErr w:type="spellEnd"/>
            <w:r w:rsidRPr="00C72BE7">
              <w:rPr>
                <w:rFonts w:ascii="Times New Roman" w:eastAsia="Times New Roman" w:hAnsi="Times New Roman" w:cs="Times New Roman"/>
              </w:rPr>
              <w:t xml:space="preserve"> palieli-</w:t>
            </w:r>
            <w:proofErr w:type="spellStart"/>
            <w:r w:rsidRPr="00C72BE7">
              <w:rPr>
                <w:rFonts w:ascii="Times New Roman" w:eastAsia="Times New Roman" w:hAnsi="Times New Roman" w:cs="Times New Roman"/>
              </w:rPr>
              <w:t>nājums</w:t>
            </w:r>
            <w:proofErr w:type="spellEnd"/>
            <w:r w:rsidRPr="00C72BE7">
              <w:rPr>
                <w:rFonts w:ascii="Times New Roman" w:eastAsia="Times New Roman" w:hAnsi="Times New Roman" w:cs="Times New Roman"/>
              </w:rPr>
              <w:t xml:space="preserve"> </w:t>
            </w:r>
          </w:p>
          <w:p w:rsidR="00C72BE7" w:rsidRPr="00C72BE7" w:rsidRDefault="00C72BE7" w:rsidP="00C72BE7">
            <w:pPr>
              <w:spacing w:after="0" w:line="240" w:lineRule="auto"/>
              <w:jc w:val="center"/>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72BE7" w:rsidRPr="00C72BE7" w:rsidRDefault="00C72BE7" w:rsidP="00C72BE7">
            <w:pPr>
              <w:spacing w:after="0" w:line="240" w:lineRule="auto"/>
              <w:jc w:val="center"/>
              <w:rPr>
                <w:rFonts w:ascii="Times New Roman" w:eastAsia="Times New Roman" w:hAnsi="Times New Roman" w:cs="Times New Roman"/>
              </w:rPr>
            </w:pPr>
          </w:p>
          <w:p w:rsidR="00C72BE7" w:rsidRPr="00C72BE7" w:rsidRDefault="00C72BE7" w:rsidP="00C72BE7">
            <w:pPr>
              <w:spacing w:after="0" w:line="240" w:lineRule="auto"/>
              <w:jc w:val="center"/>
              <w:rPr>
                <w:rFonts w:ascii="Times New Roman" w:eastAsia="Times New Roman" w:hAnsi="Times New Roman" w:cs="Times New Roman"/>
              </w:rPr>
            </w:pPr>
            <w:r w:rsidRPr="00C72BE7">
              <w:rPr>
                <w:rFonts w:ascii="Times New Roman" w:eastAsia="Times New Roman" w:hAnsi="Times New Roman" w:cs="Times New Roman"/>
              </w:rPr>
              <w:t xml:space="preserve">Pamatsumma </w:t>
            </w:r>
          </w:p>
          <w:p w:rsidR="00C72BE7" w:rsidRPr="00C72BE7" w:rsidRDefault="00C72BE7" w:rsidP="00C72BE7">
            <w:pPr>
              <w:spacing w:after="0" w:line="240" w:lineRule="auto"/>
              <w:jc w:val="center"/>
              <w:rPr>
                <w:rFonts w:ascii="Times New Roman" w:eastAsia="Times New Roman" w:hAnsi="Times New Roman" w:cs="Times New Roman"/>
              </w:rPr>
            </w:pPr>
            <w:r w:rsidRPr="00C72BE7">
              <w:rPr>
                <w:rFonts w:ascii="Times New Roman" w:eastAsia="Times New Roman" w:hAnsi="Times New Roman" w:cs="Times New Roman"/>
                <w:bCs/>
              </w:rPr>
              <w:t>1.2.1.1.3.</w:t>
            </w:r>
          </w:p>
          <w:p w:rsidR="00C72BE7" w:rsidRPr="00C72BE7" w:rsidRDefault="00C72BE7" w:rsidP="00C72BE7">
            <w:pPr>
              <w:spacing w:after="0" w:line="240" w:lineRule="auto"/>
              <w:jc w:val="center"/>
              <w:rPr>
                <w:rFonts w:ascii="Times New Roman" w:eastAsia="Times New Roman" w:hAnsi="Times New Roman" w:cs="Times New Roman"/>
              </w:rPr>
            </w:pPr>
            <w:r w:rsidRPr="00C72BE7">
              <w:rPr>
                <w:rFonts w:ascii="Times New Roman" w:eastAsia="Times New Roman" w:hAnsi="Times New Roman" w:cs="Times New Roman"/>
              </w:rPr>
              <w:t>ESF2 izglīto-</w:t>
            </w:r>
            <w:proofErr w:type="spellStart"/>
            <w:r w:rsidRPr="00C72BE7">
              <w:rPr>
                <w:rFonts w:ascii="Times New Roman" w:eastAsia="Times New Roman" w:hAnsi="Times New Roman" w:cs="Times New Roman"/>
              </w:rPr>
              <w:t>jamiem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rPr>
            </w:pPr>
            <w:r w:rsidRPr="00C72BE7">
              <w:rPr>
                <w:rFonts w:ascii="Times New Roman" w:eastAsia="Times New Roman" w:hAnsi="Times New Roman" w:cs="Times New Roman"/>
              </w:rPr>
              <w:t xml:space="preserve">Maksimālais palielinājums </w:t>
            </w:r>
          </w:p>
          <w:p w:rsidR="00C72BE7" w:rsidRPr="00C72BE7" w:rsidRDefault="00C72BE7" w:rsidP="00C72BE7">
            <w:pPr>
              <w:spacing w:after="0" w:line="240" w:lineRule="auto"/>
              <w:jc w:val="center"/>
              <w:rPr>
                <w:rFonts w:ascii="Times New Roman" w:eastAsia="Times New Roman" w:hAnsi="Times New Roman" w:cs="Times New Roman"/>
              </w:rPr>
            </w:pPr>
          </w:p>
        </w:tc>
      </w:tr>
      <w:tr w:rsidR="00C72BE7" w:rsidRPr="00C72BE7" w:rsidTr="0023408F">
        <w:trPr>
          <w:trHeight w:val="300"/>
        </w:trPr>
        <w:tc>
          <w:tcPr>
            <w:tcW w:w="1598" w:type="dxa"/>
            <w:tcBorders>
              <w:top w:val="nil"/>
              <w:left w:val="single" w:sz="4" w:space="0" w:color="auto"/>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9,00 – 10</w:t>
            </w:r>
          </w:p>
        </w:tc>
        <w:tc>
          <w:tcPr>
            <w:tcW w:w="992" w:type="dxa"/>
            <w:tcBorders>
              <w:top w:val="nil"/>
              <w:left w:val="nil"/>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28,46</w:t>
            </w:r>
          </w:p>
        </w:tc>
        <w:tc>
          <w:tcPr>
            <w:tcW w:w="992" w:type="dxa"/>
            <w:tcBorders>
              <w:top w:val="nil"/>
              <w:left w:val="nil"/>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71,14</w:t>
            </w:r>
          </w:p>
        </w:tc>
        <w:tc>
          <w:tcPr>
            <w:tcW w:w="1276" w:type="dxa"/>
            <w:tcBorders>
              <w:top w:val="nil"/>
              <w:left w:val="nil"/>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w:t>
            </w:r>
          </w:p>
        </w:tc>
        <w:tc>
          <w:tcPr>
            <w:tcW w:w="2126" w:type="dxa"/>
            <w:tcBorders>
              <w:top w:val="single" w:sz="4" w:space="0" w:color="auto"/>
              <w:left w:val="nil"/>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113,83</w:t>
            </w:r>
          </w:p>
        </w:tc>
        <w:tc>
          <w:tcPr>
            <w:tcW w:w="1843" w:type="dxa"/>
            <w:tcBorders>
              <w:top w:val="single" w:sz="4" w:space="0" w:color="auto"/>
              <w:left w:val="nil"/>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w:t>
            </w:r>
          </w:p>
        </w:tc>
      </w:tr>
      <w:tr w:rsidR="00C72BE7" w:rsidRPr="00C72BE7" w:rsidTr="0023408F">
        <w:trPr>
          <w:trHeight w:val="300"/>
        </w:trPr>
        <w:tc>
          <w:tcPr>
            <w:tcW w:w="1598" w:type="dxa"/>
            <w:tcBorders>
              <w:top w:val="nil"/>
              <w:left w:val="single" w:sz="4" w:space="0" w:color="auto"/>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8,00 - 8,99</w:t>
            </w:r>
          </w:p>
        </w:tc>
        <w:tc>
          <w:tcPr>
            <w:tcW w:w="992" w:type="dxa"/>
            <w:tcBorders>
              <w:top w:val="nil"/>
              <w:left w:val="nil"/>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21,34</w:t>
            </w:r>
          </w:p>
        </w:tc>
        <w:tc>
          <w:tcPr>
            <w:tcW w:w="992" w:type="dxa"/>
            <w:tcBorders>
              <w:top w:val="nil"/>
              <w:left w:val="nil"/>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7,11</w:t>
            </w:r>
          </w:p>
        </w:tc>
        <w:tc>
          <w:tcPr>
            <w:tcW w:w="1134" w:type="dxa"/>
            <w:tcBorders>
              <w:top w:val="nil"/>
              <w:left w:val="nil"/>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49,80</w:t>
            </w:r>
          </w:p>
        </w:tc>
        <w:tc>
          <w:tcPr>
            <w:tcW w:w="1276" w:type="dxa"/>
            <w:tcBorders>
              <w:top w:val="nil"/>
              <w:left w:val="nil"/>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14,23</w:t>
            </w:r>
          </w:p>
        </w:tc>
        <w:tc>
          <w:tcPr>
            <w:tcW w:w="2126" w:type="dxa"/>
            <w:tcBorders>
              <w:top w:val="single" w:sz="4" w:space="0" w:color="auto"/>
              <w:left w:val="nil"/>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92,49</w:t>
            </w:r>
          </w:p>
        </w:tc>
        <w:tc>
          <w:tcPr>
            <w:tcW w:w="1843" w:type="dxa"/>
            <w:tcBorders>
              <w:top w:val="nil"/>
              <w:left w:val="nil"/>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14,23</w:t>
            </w:r>
          </w:p>
        </w:tc>
      </w:tr>
      <w:tr w:rsidR="00C72BE7" w:rsidRPr="00C72BE7" w:rsidTr="0023408F">
        <w:trPr>
          <w:trHeight w:val="300"/>
        </w:trPr>
        <w:tc>
          <w:tcPr>
            <w:tcW w:w="1598" w:type="dxa"/>
            <w:tcBorders>
              <w:top w:val="nil"/>
              <w:left w:val="single" w:sz="4" w:space="0" w:color="auto"/>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6,00 - 7,99</w:t>
            </w:r>
          </w:p>
        </w:tc>
        <w:tc>
          <w:tcPr>
            <w:tcW w:w="992" w:type="dxa"/>
            <w:tcBorders>
              <w:top w:val="nil"/>
              <w:left w:val="nil"/>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17,07</w:t>
            </w:r>
          </w:p>
        </w:tc>
        <w:tc>
          <w:tcPr>
            <w:tcW w:w="992" w:type="dxa"/>
            <w:tcBorders>
              <w:top w:val="nil"/>
              <w:left w:val="nil"/>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5,69</w:t>
            </w:r>
          </w:p>
        </w:tc>
        <w:tc>
          <w:tcPr>
            <w:tcW w:w="1134" w:type="dxa"/>
            <w:tcBorders>
              <w:top w:val="nil"/>
              <w:left w:val="nil"/>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35,57</w:t>
            </w:r>
          </w:p>
        </w:tc>
        <w:tc>
          <w:tcPr>
            <w:tcW w:w="1276" w:type="dxa"/>
            <w:tcBorders>
              <w:top w:val="nil"/>
              <w:left w:val="nil"/>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11,38</w:t>
            </w:r>
          </w:p>
        </w:tc>
        <w:tc>
          <w:tcPr>
            <w:tcW w:w="2126" w:type="dxa"/>
            <w:tcBorders>
              <w:top w:val="nil"/>
              <w:left w:val="nil"/>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92,49</w:t>
            </w:r>
          </w:p>
        </w:tc>
        <w:tc>
          <w:tcPr>
            <w:tcW w:w="1843" w:type="dxa"/>
            <w:tcBorders>
              <w:top w:val="nil"/>
              <w:left w:val="nil"/>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11,38</w:t>
            </w:r>
          </w:p>
        </w:tc>
      </w:tr>
      <w:tr w:rsidR="00C72BE7" w:rsidRPr="00C72BE7" w:rsidTr="0023408F">
        <w:trPr>
          <w:trHeight w:val="300"/>
        </w:trPr>
        <w:tc>
          <w:tcPr>
            <w:tcW w:w="1598" w:type="dxa"/>
            <w:tcBorders>
              <w:top w:val="nil"/>
              <w:left w:val="single" w:sz="4" w:space="0" w:color="auto"/>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4,00 - 5,99</w:t>
            </w:r>
          </w:p>
        </w:tc>
        <w:tc>
          <w:tcPr>
            <w:tcW w:w="992" w:type="dxa"/>
            <w:tcBorders>
              <w:top w:val="nil"/>
              <w:left w:val="nil"/>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14,23</w:t>
            </w:r>
          </w:p>
        </w:tc>
        <w:tc>
          <w:tcPr>
            <w:tcW w:w="992" w:type="dxa"/>
            <w:tcBorders>
              <w:top w:val="nil"/>
              <w:left w:val="nil"/>
              <w:bottom w:val="single" w:sz="4" w:space="0" w:color="auto"/>
              <w:right w:val="single" w:sz="4" w:space="0" w:color="auto"/>
            </w:tcBorders>
            <w:shd w:val="clear" w:color="auto" w:fill="auto"/>
            <w:noWrap/>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4,27</w:t>
            </w:r>
          </w:p>
        </w:tc>
        <w:tc>
          <w:tcPr>
            <w:tcW w:w="1134" w:type="dxa"/>
            <w:tcBorders>
              <w:top w:val="nil"/>
              <w:left w:val="nil"/>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28,46</w:t>
            </w:r>
          </w:p>
        </w:tc>
        <w:tc>
          <w:tcPr>
            <w:tcW w:w="1276" w:type="dxa"/>
            <w:tcBorders>
              <w:top w:val="nil"/>
              <w:left w:val="nil"/>
              <w:bottom w:val="single" w:sz="4" w:space="0" w:color="auto"/>
              <w:right w:val="single" w:sz="4" w:space="0" w:color="auto"/>
            </w:tcBorders>
            <w:shd w:val="clear" w:color="auto" w:fill="auto"/>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8,54</w:t>
            </w:r>
          </w:p>
        </w:tc>
        <w:tc>
          <w:tcPr>
            <w:tcW w:w="2126" w:type="dxa"/>
            <w:tcBorders>
              <w:top w:val="nil"/>
              <w:left w:val="nil"/>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71.14</w:t>
            </w:r>
          </w:p>
        </w:tc>
        <w:tc>
          <w:tcPr>
            <w:tcW w:w="1843" w:type="dxa"/>
            <w:tcBorders>
              <w:top w:val="nil"/>
              <w:left w:val="nil"/>
              <w:bottom w:val="single" w:sz="4" w:space="0" w:color="auto"/>
              <w:right w:val="single" w:sz="4" w:space="0" w:color="auto"/>
            </w:tcBorders>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8,54</w:t>
            </w:r>
          </w:p>
        </w:tc>
      </w:tr>
    </w:tbl>
    <w:p w:rsidR="00C72BE7" w:rsidRPr="00C72BE7" w:rsidRDefault="00C72BE7" w:rsidP="00C72BE7">
      <w:pPr>
        <w:spacing w:after="0"/>
        <w:jc w:val="both"/>
        <w:rPr>
          <w:rFonts w:ascii="Times New Roman" w:eastAsia="Times New Roman" w:hAnsi="Times New Roman" w:cs="Times New Roman"/>
          <w:sz w:val="24"/>
          <w:szCs w:val="24"/>
        </w:rPr>
      </w:pPr>
    </w:p>
    <w:p w:rsidR="00C72BE7" w:rsidRPr="00C72BE7" w:rsidRDefault="00C72BE7" w:rsidP="00C72BE7">
      <w:pPr>
        <w:jc w:val="both"/>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 xml:space="preserve"> Piezīmes. L</w:t>
      </w:r>
      <w:r w:rsidRPr="00C72BE7">
        <w:rPr>
          <w:rFonts w:ascii="Times New Roman" w:eastAsia="Times New Roman" w:hAnsi="Times New Roman" w:cs="Times New Roman"/>
          <w:iCs/>
          <w:sz w:val="24"/>
          <w:szCs w:val="24"/>
        </w:rPr>
        <w:t xml:space="preserve">ai nodrošinātu vienotu </w:t>
      </w:r>
      <w:r w:rsidRPr="00C72BE7">
        <w:rPr>
          <w:rFonts w:ascii="Times New Roman" w:eastAsia="Times New Roman" w:hAnsi="Times New Roman" w:cs="Times New Roman"/>
          <w:sz w:val="24"/>
          <w:szCs w:val="24"/>
        </w:rPr>
        <w:t>informācijas sistēmas ASUS aprēķinu metodikas pielietojumu 1.2.1.1.3.apakšaktivitātes projekta izglītojamiem, ASUS veicamas šādas darbības:</w:t>
      </w:r>
    </w:p>
    <w:p w:rsidR="00C72BE7" w:rsidRPr="00C72BE7" w:rsidRDefault="00C72BE7" w:rsidP="00C72BE7">
      <w:pPr>
        <w:jc w:val="both"/>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ab/>
        <w:t xml:space="preserve">1. ASUS sadaļā „Izglītības programmas” 1.2.1.1.3.apakšaktivitātes projekta izglītojamo „Grupas” apzīmējumā ietver   ESF2   </w:t>
      </w:r>
      <w:r w:rsidRPr="00C72BE7">
        <w:rPr>
          <w:rFonts w:ascii="Times New Roman" w:eastAsia="Times New Roman" w:hAnsi="Times New Roman" w:cs="Times New Roman"/>
          <w:i/>
          <w:sz w:val="24"/>
          <w:szCs w:val="24"/>
        </w:rPr>
        <w:t>(1.2.1.1.3.apakšaktivitātes „Atbalsts sākotnējās profesionālās izglītības programmu īstenošanas kvalitātes uzlabošanai un īstenošanai” otrās projekta iesnieguma atlases kārta</w:t>
      </w:r>
      <w:r w:rsidRPr="00C72BE7">
        <w:rPr>
          <w:rFonts w:ascii="Times New Roman" w:eastAsia="Times New Roman" w:hAnsi="Times New Roman" w:cs="Times New Roman"/>
          <w:sz w:val="24"/>
          <w:szCs w:val="24"/>
        </w:rPr>
        <w:t>), piem.,</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2128"/>
      </w:tblGrid>
      <w:tr w:rsidR="00C72BE7" w:rsidRPr="00C72BE7" w:rsidTr="001145CD">
        <w:tc>
          <w:tcPr>
            <w:tcW w:w="1558" w:type="dxa"/>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Grupa</w:t>
            </w:r>
          </w:p>
        </w:tc>
        <w:tc>
          <w:tcPr>
            <w:tcW w:w="2128" w:type="dxa"/>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AM ESF2</w:t>
            </w:r>
          </w:p>
        </w:tc>
      </w:tr>
      <w:tr w:rsidR="00C72BE7" w:rsidRPr="00C72BE7" w:rsidTr="001145CD">
        <w:tc>
          <w:tcPr>
            <w:tcW w:w="1558" w:type="dxa"/>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Grupa</w:t>
            </w:r>
          </w:p>
        </w:tc>
        <w:tc>
          <w:tcPr>
            <w:tcW w:w="2128" w:type="dxa"/>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26 ESF2</w:t>
            </w:r>
          </w:p>
        </w:tc>
      </w:tr>
    </w:tbl>
    <w:p w:rsidR="00C72BE7" w:rsidRPr="00C72BE7" w:rsidRDefault="00C72BE7" w:rsidP="00C72BE7">
      <w:pPr>
        <w:spacing w:after="0"/>
        <w:jc w:val="both"/>
        <w:rPr>
          <w:rFonts w:ascii="Times New Roman" w:eastAsia="Times New Roman" w:hAnsi="Times New Roman" w:cs="Times New Roman"/>
          <w:sz w:val="24"/>
          <w:szCs w:val="24"/>
        </w:rPr>
      </w:pPr>
    </w:p>
    <w:p w:rsidR="00C72BE7" w:rsidRPr="00C72BE7" w:rsidRDefault="00C72BE7" w:rsidP="00C72BE7">
      <w:pPr>
        <w:ind w:left="360"/>
        <w:jc w:val="both"/>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2. Ievadot ASUS sadaļā „Audzēkņi” 1.2.1.1.3.apakšaktivitātes projekta izglītojamo datus, „Statusa izmaiņas pamatojumā”  ietver ieskaitīšanas datumu un ESF2, piem.,</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262"/>
      </w:tblGrid>
      <w:tr w:rsidR="00C72BE7" w:rsidRPr="00C72BE7" w:rsidTr="001145CD">
        <w:tc>
          <w:tcPr>
            <w:tcW w:w="3117" w:type="dxa"/>
          </w:tcPr>
          <w:p w:rsidR="00C72BE7" w:rsidRPr="00C72BE7" w:rsidRDefault="00C72BE7" w:rsidP="00C72BE7">
            <w:pPr>
              <w:tabs>
                <w:tab w:val="center" w:pos="4153"/>
                <w:tab w:val="right" w:pos="8306"/>
              </w:tabs>
              <w:spacing w:after="0" w:line="240" w:lineRule="auto"/>
              <w:jc w:val="both"/>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Statusa izmaiņas pamatojums</w:t>
            </w:r>
          </w:p>
        </w:tc>
        <w:tc>
          <w:tcPr>
            <w:tcW w:w="3262" w:type="dxa"/>
          </w:tcPr>
          <w:p w:rsidR="00C72BE7" w:rsidRPr="00C72BE7" w:rsidRDefault="00C72BE7" w:rsidP="00C72BE7">
            <w:pPr>
              <w:tabs>
                <w:tab w:val="center" w:pos="4153"/>
                <w:tab w:val="right" w:pos="8306"/>
              </w:tabs>
              <w:spacing w:after="0" w:line="240" w:lineRule="auto"/>
              <w:jc w:val="both"/>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01.09.2013. rīk.Nr.4 ESF2</w:t>
            </w:r>
          </w:p>
        </w:tc>
      </w:tr>
      <w:tr w:rsidR="00C72BE7" w:rsidRPr="00C72BE7" w:rsidTr="001145CD">
        <w:tc>
          <w:tcPr>
            <w:tcW w:w="3117" w:type="dxa"/>
          </w:tcPr>
          <w:p w:rsidR="00C72BE7" w:rsidRPr="00C72BE7" w:rsidRDefault="00C72BE7" w:rsidP="00C72BE7">
            <w:pPr>
              <w:tabs>
                <w:tab w:val="center" w:pos="4153"/>
                <w:tab w:val="right" w:pos="8306"/>
              </w:tabs>
              <w:spacing w:after="0" w:line="240" w:lineRule="auto"/>
              <w:jc w:val="both"/>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Statusa izmaiņas pamatojums</w:t>
            </w:r>
          </w:p>
        </w:tc>
        <w:tc>
          <w:tcPr>
            <w:tcW w:w="3262" w:type="dxa"/>
          </w:tcPr>
          <w:p w:rsidR="00C72BE7" w:rsidRPr="00C72BE7" w:rsidRDefault="00C72BE7" w:rsidP="00C72BE7">
            <w:pPr>
              <w:tabs>
                <w:tab w:val="center" w:pos="4153"/>
                <w:tab w:val="right" w:pos="8306"/>
              </w:tabs>
              <w:spacing w:after="0" w:line="240" w:lineRule="auto"/>
              <w:jc w:val="both"/>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ESF2 rīk.Nr.4 01.09.2013.</w:t>
            </w:r>
          </w:p>
        </w:tc>
      </w:tr>
    </w:tbl>
    <w:p w:rsidR="00C72BE7" w:rsidRPr="00C72BE7" w:rsidRDefault="00C72BE7" w:rsidP="00C72BE7">
      <w:pPr>
        <w:spacing w:after="0"/>
        <w:jc w:val="both"/>
        <w:rPr>
          <w:rFonts w:ascii="Times New Roman" w:eastAsia="Times New Roman" w:hAnsi="Times New Roman" w:cs="Times New Roman"/>
          <w:sz w:val="24"/>
          <w:szCs w:val="24"/>
        </w:rPr>
      </w:pPr>
    </w:p>
    <w:p w:rsidR="00C72BE7" w:rsidRPr="00C72BE7" w:rsidRDefault="00C72BE7" w:rsidP="00C72BE7">
      <w:pPr>
        <w:ind w:left="360"/>
        <w:jc w:val="both"/>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 xml:space="preserve">3. Nosakot </w:t>
      </w:r>
      <w:proofErr w:type="spellStart"/>
      <w:r w:rsidRPr="00C72BE7">
        <w:rPr>
          <w:rFonts w:ascii="Times New Roman" w:eastAsia="Times New Roman" w:hAnsi="Times New Roman" w:cs="Times New Roman"/>
          <w:sz w:val="24"/>
          <w:szCs w:val="24"/>
        </w:rPr>
        <w:t>mērķstipendijas</w:t>
      </w:r>
      <w:proofErr w:type="spellEnd"/>
      <w:r w:rsidRPr="00C72BE7">
        <w:rPr>
          <w:rFonts w:ascii="Times New Roman" w:eastAsia="Times New Roman" w:hAnsi="Times New Roman" w:cs="Times New Roman"/>
          <w:sz w:val="24"/>
          <w:szCs w:val="24"/>
        </w:rPr>
        <w:t xml:space="preserve"> ASUS „Izmaksu korekcijā” atbilstoši „Vidējai atzīmei” ieraksta: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2472"/>
        <w:gridCol w:w="2127"/>
        <w:gridCol w:w="296"/>
      </w:tblGrid>
      <w:tr w:rsidR="00C72BE7" w:rsidRPr="00C72BE7" w:rsidTr="00C72BE7">
        <w:tc>
          <w:tcPr>
            <w:tcW w:w="2347" w:type="dxa"/>
            <w:vAlign w:val="center"/>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Vidējā atzīme</w:t>
            </w:r>
          </w:p>
        </w:tc>
        <w:tc>
          <w:tcPr>
            <w:tcW w:w="2472" w:type="dxa"/>
            <w:vAlign w:val="center"/>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Izmaksu korekcija</w:t>
            </w:r>
          </w:p>
        </w:tc>
        <w:tc>
          <w:tcPr>
            <w:tcW w:w="2127" w:type="dxa"/>
            <w:tcBorders>
              <w:right w:val="single" w:sz="4" w:space="0" w:color="auto"/>
            </w:tcBorders>
            <w:vAlign w:val="center"/>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Piezīmes</w:t>
            </w:r>
          </w:p>
        </w:tc>
        <w:tc>
          <w:tcPr>
            <w:tcW w:w="296" w:type="dxa"/>
            <w:tcBorders>
              <w:top w:val="nil"/>
              <w:left w:val="single" w:sz="4" w:space="0" w:color="auto"/>
              <w:bottom w:val="nil"/>
              <w:right w:val="nil"/>
            </w:tcBorders>
          </w:tcPr>
          <w:p w:rsidR="00C72BE7" w:rsidRPr="00C72BE7" w:rsidRDefault="00C72BE7" w:rsidP="00C72BE7">
            <w:pPr>
              <w:tabs>
                <w:tab w:val="center" w:pos="4153"/>
                <w:tab w:val="right" w:pos="8306"/>
              </w:tabs>
              <w:spacing w:after="0"/>
              <w:jc w:val="center"/>
              <w:rPr>
                <w:rFonts w:ascii="Times New Roman" w:eastAsia="Times New Roman" w:hAnsi="Times New Roman" w:cs="Times New Roman"/>
                <w:sz w:val="24"/>
                <w:szCs w:val="24"/>
              </w:rPr>
            </w:pPr>
          </w:p>
        </w:tc>
      </w:tr>
      <w:tr w:rsidR="00C72BE7" w:rsidRPr="00C72BE7" w:rsidTr="00C72BE7">
        <w:trPr>
          <w:trHeight w:val="232"/>
        </w:trPr>
        <w:tc>
          <w:tcPr>
            <w:tcW w:w="2347" w:type="dxa"/>
            <w:vAlign w:val="center"/>
          </w:tcPr>
          <w:p w:rsidR="00C72BE7" w:rsidRPr="00C72BE7" w:rsidRDefault="00C72BE7" w:rsidP="00C72BE7">
            <w:pPr>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lastRenderedPageBreak/>
              <w:t>9,00 – 10</w:t>
            </w:r>
          </w:p>
        </w:tc>
        <w:tc>
          <w:tcPr>
            <w:tcW w:w="2472" w:type="dxa"/>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42,69</w:t>
            </w:r>
          </w:p>
        </w:tc>
        <w:tc>
          <w:tcPr>
            <w:tcW w:w="2127" w:type="dxa"/>
            <w:tcBorders>
              <w:right w:val="single" w:sz="4" w:space="0" w:color="auto"/>
            </w:tcBorders>
            <w:vAlign w:val="center"/>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ESF2</w:t>
            </w:r>
          </w:p>
        </w:tc>
        <w:tc>
          <w:tcPr>
            <w:tcW w:w="296" w:type="dxa"/>
            <w:tcBorders>
              <w:top w:val="nil"/>
              <w:left w:val="single" w:sz="4" w:space="0" w:color="auto"/>
              <w:bottom w:val="nil"/>
              <w:right w:val="nil"/>
            </w:tcBorders>
          </w:tcPr>
          <w:p w:rsidR="00C72BE7" w:rsidRPr="00C72BE7" w:rsidRDefault="00C72BE7" w:rsidP="00C72BE7">
            <w:pPr>
              <w:tabs>
                <w:tab w:val="center" w:pos="4153"/>
                <w:tab w:val="right" w:pos="8306"/>
              </w:tabs>
              <w:spacing w:after="0"/>
              <w:jc w:val="center"/>
              <w:rPr>
                <w:rFonts w:ascii="Times New Roman" w:eastAsia="Times New Roman" w:hAnsi="Times New Roman" w:cs="Times New Roman"/>
                <w:sz w:val="24"/>
                <w:szCs w:val="24"/>
              </w:rPr>
            </w:pPr>
          </w:p>
        </w:tc>
      </w:tr>
      <w:tr w:rsidR="00C72BE7" w:rsidRPr="00C72BE7" w:rsidTr="00C72BE7">
        <w:tc>
          <w:tcPr>
            <w:tcW w:w="2347" w:type="dxa"/>
            <w:vAlign w:val="center"/>
          </w:tcPr>
          <w:p w:rsidR="00C72BE7" w:rsidRPr="00C72BE7" w:rsidRDefault="00C72BE7" w:rsidP="00C72BE7">
            <w:pPr>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8,00 - 8,99</w:t>
            </w:r>
          </w:p>
        </w:tc>
        <w:tc>
          <w:tcPr>
            <w:tcW w:w="2472" w:type="dxa"/>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42,69</w:t>
            </w:r>
          </w:p>
        </w:tc>
        <w:tc>
          <w:tcPr>
            <w:tcW w:w="2127" w:type="dxa"/>
            <w:tcBorders>
              <w:right w:val="single" w:sz="4" w:space="0" w:color="auto"/>
            </w:tcBorders>
            <w:vAlign w:val="center"/>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ESF2</w:t>
            </w:r>
          </w:p>
        </w:tc>
        <w:tc>
          <w:tcPr>
            <w:tcW w:w="296" w:type="dxa"/>
            <w:tcBorders>
              <w:top w:val="nil"/>
              <w:left w:val="single" w:sz="4" w:space="0" w:color="auto"/>
              <w:bottom w:val="nil"/>
              <w:right w:val="nil"/>
            </w:tcBorders>
          </w:tcPr>
          <w:p w:rsidR="00C72BE7" w:rsidRPr="00C72BE7" w:rsidRDefault="00C72BE7" w:rsidP="00C72BE7">
            <w:pPr>
              <w:tabs>
                <w:tab w:val="center" w:pos="4153"/>
                <w:tab w:val="right" w:pos="8306"/>
              </w:tabs>
              <w:spacing w:after="0"/>
              <w:jc w:val="center"/>
              <w:rPr>
                <w:rFonts w:ascii="Times New Roman" w:eastAsia="Times New Roman" w:hAnsi="Times New Roman" w:cs="Times New Roman"/>
                <w:sz w:val="24"/>
                <w:szCs w:val="24"/>
              </w:rPr>
            </w:pPr>
          </w:p>
        </w:tc>
      </w:tr>
      <w:tr w:rsidR="00C72BE7" w:rsidRPr="00C72BE7" w:rsidTr="00C72BE7">
        <w:tc>
          <w:tcPr>
            <w:tcW w:w="2347" w:type="dxa"/>
            <w:vAlign w:val="center"/>
          </w:tcPr>
          <w:p w:rsidR="00C72BE7" w:rsidRPr="00C72BE7" w:rsidRDefault="00C72BE7" w:rsidP="00C72BE7">
            <w:pPr>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6,00 - 7,99</w:t>
            </w:r>
          </w:p>
        </w:tc>
        <w:tc>
          <w:tcPr>
            <w:tcW w:w="2472" w:type="dxa"/>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56,92</w:t>
            </w:r>
          </w:p>
        </w:tc>
        <w:tc>
          <w:tcPr>
            <w:tcW w:w="2127" w:type="dxa"/>
            <w:tcBorders>
              <w:right w:val="single" w:sz="4" w:space="0" w:color="auto"/>
            </w:tcBorders>
            <w:vAlign w:val="center"/>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ESF2</w:t>
            </w:r>
          </w:p>
        </w:tc>
        <w:tc>
          <w:tcPr>
            <w:tcW w:w="296" w:type="dxa"/>
            <w:tcBorders>
              <w:top w:val="nil"/>
              <w:left w:val="single" w:sz="4" w:space="0" w:color="auto"/>
              <w:bottom w:val="nil"/>
              <w:right w:val="nil"/>
            </w:tcBorders>
          </w:tcPr>
          <w:p w:rsidR="00C72BE7" w:rsidRPr="00C72BE7" w:rsidRDefault="00C72BE7" w:rsidP="00C72BE7">
            <w:pPr>
              <w:tabs>
                <w:tab w:val="center" w:pos="4153"/>
                <w:tab w:val="right" w:pos="8306"/>
              </w:tabs>
              <w:spacing w:after="0"/>
              <w:jc w:val="center"/>
              <w:rPr>
                <w:rFonts w:ascii="Times New Roman" w:eastAsia="Times New Roman" w:hAnsi="Times New Roman" w:cs="Times New Roman"/>
                <w:sz w:val="24"/>
                <w:szCs w:val="24"/>
              </w:rPr>
            </w:pPr>
          </w:p>
        </w:tc>
      </w:tr>
      <w:tr w:rsidR="00C72BE7" w:rsidRPr="00C72BE7" w:rsidTr="00C72BE7">
        <w:tc>
          <w:tcPr>
            <w:tcW w:w="2347" w:type="dxa"/>
            <w:vAlign w:val="center"/>
          </w:tcPr>
          <w:p w:rsidR="00C72BE7" w:rsidRPr="00C72BE7" w:rsidRDefault="00C72BE7" w:rsidP="00C72BE7">
            <w:pPr>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4,00 - 5,99</w:t>
            </w:r>
          </w:p>
        </w:tc>
        <w:tc>
          <w:tcPr>
            <w:tcW w:w="2472" w:type="dxa"/>
            <w:vAlign w:val="center"/>
          </w:tcPr>
          <w:p w:rsidR="00C72BE7" w:rsidRPr="00C72BE7" w:rsidRDefault="00C72BE7" w:rsidP="00C72BE7">
            <w:pPr>
              <w:spacing w:after="0" w:line="240" w:lineRule="auto"/>
              <w:jc w:val="center"/>
              <w:rPr>
                <w:rFonts w:ascii="Times New Roman" w:eastAsia="Times New Roman" w:hAnsi="Times New Roman" w:cs="Times New Roman"/>
                <w:color w:val="000000"/>
                <w:sz w:val="24"/>
                <w:szCs w:val="24"/>
              </w:rPr>
            </w:pPr>
            <w:r w:rsidRPr="00C72BE7">
              <w:rPr>
                <w:rFonts w:ascii="Times New Roman" w:eastAsia="Times New Roman" w:hAnsi="Times New Roman" w:cs="Times New Roman"/>
                <w:color w:val="000000"/>
                <w:sz w:val="24"/>
                <w:szCs w:val="24"/>
              </w:rPr>
              <w:t>42,69</w:t>
            </w:r>
          </w:p>
        </w:tc>
        <w:tc>
          <w:tcPr>
            <w:tcW w:w="2127" w:type="dxa"/>
            <w:tcBorders>
              <w:right w:val="single" w:sz="4" w:space="0" w:color="auto"/>
            </w:tcBorders>
            <w:vAlign w:val="center"/>
          </w:tcPr>
          <w:p w:rsidR="00C72BE7" w:rsidRPr="00C72BE7" w:rsidRDefault="00C72BE7" w:rsidP="00C72BE7">
            <w:pPr>
              <w:tabs>
                <w:tab w:val="center" w:pos="4153"/>
                <w:tab w:val="right" w:pos="8306"/>
              </w:tabs>
              <w:spacing w:after="0" w:line="240" w:lineRule="auto"/>
              <w:jc w:val="center"/>
              <w:rPr>
                <w:rFonts w:ascii="Times New Roman" w:eastAsia="Times New Roman" w:hAnsi="Times New Roman" w:cs="Times New Roman"/>
                <w:sz w:val="24"/>
                <w:szCs w:val="24"/>
              </w:rPr>
            </w:pPr>
            <w:r w:rsidRPr="00C72BE7">
              <w:rPr>
                <w:rFonts w:ascii="Times New Roman" w:eastAsia="Times New Roman" w:hAnsi="Times New Roman" w:cs="Times New Roman"/>
                <w:sz w:val="24"/>
                <w:szCs w:val="24"/>
              </w:rPr>
              <w:t>ESF2</w:t>
            </w:r>
          </w:p>
        </w:tc>
        <w:tc>
          <w:tcPr>
            <w:tcW w:w="296" w:type="dxa"/>
            <w:tcBorders>
              <w:top w:val="nil"/>
              <w:left w:val="single" w:sz="4" w:space="0" w:color="auto"/>
              <w:bottom w:val="nil"/>
              <w:right w:val="nil"/>
            </w:tcBorders>
          </w:tcPr>
          <w:p w:rsidR="00C72BE7" w:rsidRPr="00C72BE7" w:rsidRDefault="00C72BE7" w:rsidP="00C72BE7">
            <w:pPr>
              <w:tabs>
                <w:tab w:val="center" w:pos="4153"/>
                <w:tab w:val="right" w:pos="8306"/>
              </w:tabs>
              <w:spacing w:after="0"/>
              <w:rPr>
                <w:rFonts w:ascii="Times New Roman" w:eastAsia="Times New Roman" w:hAnsi="Times New Roman" w:cs="Times New Roman"/>
                <w:sz w:val="24"/>
                <w:szCs w:val="24"/>
                <w:vertAlign w:val="superscript"/>
              </w:rPr>
            </w:pPr>
            <w:r w:rsidRPr="00C72BE7">
              <w:rPr>
                <w:rFonts w:ascii="Times New Roman" w:eastAsia="Times New Roman" w:hAnsi="Times New Roman" w:cs="Times New Roman"/>
                <w:sz w:val="24"/>
                <w:szCs w:val="24"/>
                <w:vertAlign w:val="superscript"/>
              </w:rPr>
              <w:t>„</w:t>
            </w:r>
          </w:p>
        </w:tc>
      </w:tr>
    </w:tbl>
    <w:p w:rsidR="00C72BE7" w:rsidRPr="00C72BE7" w:rsidRDefault="00C72BE7" w:rsidP="00C72BE7">
      <w:pPr>
        <w:spacing w:after="0"/>
        <w:ind w:firstLine="720"/>
        <w:jc w:val="both"/>
        <w:rPr>
          <w:rFonts w:ascii="Times New Roman" w:eastAsia="Times New Roman" w:hAnsi="Times New Roman" w:cs="Times New Roman"/>
          <w:sz w:val="24"/>
          <w:szCs w:val="24"/>
        </w:rPr>
      </w:pPr>
    </w:p>
    <w:p w:rsidR="00C72BE7" w:rsidRDefault="00C72BE7" w:rsidP="00C40C33">
      <w:pPr>
        <w:pStyle w:val="Sarakstarindkopa"/>
        <w:ind w:left="0"/>
        <w:rPr>
          <w:rFonts w:ascii="Times New Roman" w:hAnsi="Times New Roman" w:cs="Times New Roman"/>
          <w:sz w:val="24"/>
          <w:szCs w:val="24"/>
        </w:rPr>
      </w:pPr>
      <w:r w:rsidRPr="00C72BE7">
        <w:rPr>
          <w:rFonts w:ascii="Times New Roman" w:hAnsi="Times New Roman" w:cs="Times New Roman"/>
          <w:sz w:val="24"/>
          <w:szCs w:val="24"/>
        </w:rPr>
        <w:t xml:space="preserve"> </w:t>
      </w:r>
      <w:r w:rsidRPr="00605D29">
        <w:rPr>
          <w:rFonts w:ascii="Times New Roman" w:hAnsi="Times New Roman" w:cs="Times New Roman"/>
          <w:sz w:val="24"/>
          <w:szCs w:val="24"/>
        </w:rPr>
        <w:t xml:space="preserve">17. </w:t>
      </w:r>
      <w:proofErr w:type="spellStart"/>
      <w:r w:rsidRPr="00605D29">
        <w:rPr>
          <w:rFonts w:ascii="Times New Roman" w:hAnsi="Times New Roman" w:cs="Times New Roman"/>
          <w:sz w:val="24"/>
          <w:szCs w:val="24"/>
        </w:rPr>
        <w:t>Mērķstipendijas</w:t>
      </w:r>
      <w:proofErr w:type="spellEnd"/>
      <w:r w:rsidRPr="00605D29">
        <w:rPr>
          <w:rFonts w:ascii="Times New Roman" w:hAnsi="Times New Roman" w:cs="Times New Roman"/>
          <w:sz w:val="24"/>
          <w:szCs w:val="24"/>
        </w:rPr>
        <w:t xml:space="preserve"> apmēru aprēķina izmantojot informācija sistēmu ASUS. Ja izglītības iestādei </w:t>
      </w:r>
      <w:proofErr w:type="spellStart"/>
      <w:r w:rsidRPr="00605D29">
        <w:rPr>
          <w:rFonts w:ascii="Times New Roman" w:hAnsi="Times New Roman" w:cs="Times New Roman"/>
          <w:sz w:val="24"/>
          <w:szCs w:val="24"/>
        </w:rPr>
        <w:t>mērķstipendijām</w:t>
      </w:r>
      <w:proofErr w:type="spellEnd"/>
      <w:r w:rsidRPr="00605D29">
        <w:rPr>
          <w:rFonts w:ascii="Times New Roman" w:hAnsi="Times New Roman" w:cs="Times New Roman"/>
          <w:sz w:val="24"/>
          <w:szCs w:val="24"/>
        </w:rPr>
        <w:t xml:space="preserve"> pieejamā summa ir lielāka par aprēķināto kopsummu (pamatsummu), ASUS nosaka </w:t>
      </w:r>
      <w:proofErr w:type="spellStart"/>
      <w:r w:rsidRPr="00605D29">
        <w:rPr>
          <w:rFonts w:ascii="Times New Roman" w:hAnsi="Times New Roman" w:cs="Times New Roman"/>
          <w:sz w:val="24"/>
          <w:szCs w:val="24"/>
        </w:rPr>
        <w:t>mērķstipendijas</w:t>
      </w:r>
      <w:proofErr w:type="spellEnd"/>
      <w:r w:rsidRPr="00605D29">
        <w:rPr>
          <w:rFonts w:ascii="Times New Roman" w:hAnsi="Times New Roman" w:cs="Times New Roman"/>
          <w:sz w:val="24"/>
          <w:szCs w:val="24"/>
        </w:rPr>
        <w:t xml:space="preserve"> apmēra palielinājumu atkarībā no sekmju vidējā vērtējuma: katram pirmā kursa izglītojamam maksimālais palielinājums –</w:t>
      </w:r>
      <w:r w:rsidRPr="00605D29">
        <w:rPr>
          <w:rFonts w:ascii="Times New Roman" w:hAnsi="Times New Roman" w:cs="Times New Roman"/>
          <w:color w:val="000000"/>
          <w:sz w:val="24"/>
          <w:szCs w:val="24"/>
        </w:rPr>
        <w:t xml:space="preserve">7,11 </w:t>
      </w:r>
      <w:proofErr w:type="spellStart"/>
      <w:r w:rsidRPr="00605D29">
        <w:rPr>
          <w:rFonts w:ascii="Times New Roman" w:hAnsi="Times New Roman" w:cs="Times New Roman"/>
          <w:color w:val="000000"/>
          <w:sz w:val="24"/>
          <w:szCs w:val="24"/>
        </w:rPr>
        <w:t>euro</w:t>
      </w:r>
      <w:proofErr w:type="spellEnd"/>
      <w:r w:rsidRPr="00605D29">
        <w:rPr>
          <w:rFonts w:ascii="Times New Roman" w:hAnsi="Times New Roman" w:cs="Times New Roman"/>
          <w:sz w:val="24"/>
          <w:szCs w:val="24"/>
        </w:rPr>
        <w:t xml:space="preserve"> un otrā līdz ceturtā kursa izglītojamiem </w:t>
      </w:r>
      <w:r w:rsidRPr="00605D29">
        <w:rPr>
          <w:rFonts w:ascii="Times New Roman" w:hAnsi="Times New Roman" w:cs="Times New Roman"/>
          <w:strike/>
          <w:sz w:val="24"/>
          <w:szCs w:val="24"/>
        </w:rPr>
        <w:t>-</w:t>
      </w:r>
      <w:r w:rsidRPr="00605D29">
        <w:rPr>
          <w:rFonts w:ascii="Times New Roman" w:hAnsi="Times New Roman" w:cs="Times New Roman"/>
          <w:color w:val="000000"/>
          <w:sz w:val="24"/>
          <w:szCs w:val="24"/>
        </w:rPr>
        <w:t xml:space="preserve">14,23 </w:t>
      </w:r>
      <w:proofErr w:type="spellStart"/>
      <w:r w:rsidRPr="00605D29">
        <w:rPr>
          <w:rFonts w:ascii="Times New Roman" w:hAnsi="Times New Roman" w:cs="Times New Roman"/>
          <w:color w:val="000000"/>
          <w:sz w:val="24"/>
          <w:szCs w:val="24"/>
        </w:rPr>
        <w:t>euro</w:t>
      </w:r>
      <w:proofErr w:type="spellEnd"/>
      <w:r w:rsidRPr="00605D29">
        <w:rPr>
          <w:rFonts w:ascii="Times New Roman" w:hAnsi="Times New Roman" w:cs="Times New Roman"/>
          <w:color w:val="000000"/>
          <w:sz w:val="24"/>
          <w:szCs w:val="24"/>
        </w:rPr>
        <w:t xml:space="preserve">. </w:t>
      </w:r>
      <w:r w:rsidRPr="00605D29">
        <w:rPr>
          <w:rFonts w:ascii="Times New Roman" w:hAnsi="Times New Roman" w:cs="Times New Roman"/>
          <w:sz w:val="24"/>
          <w:szCs w:val="24"/>
        </w:rPr>
        <w:t xml:space="preserve">Ja ASUS </w:t>
      </w:r>
      <w:proofErr w:type="spellStart"/>
      <w:r w:rsidRPr="00605D29">
        <w:rPr>
          <w:rFonts w:ascii="Times New Roman" w:hAnsi="Times New Roman" w:cs="Times New Roman"/>
          <w:sz w:val="24"/>
          <w:szCs w:val="24"/>
        </w:rPr>
        <w:t>mērķstipendijas</w:t>
      </w:r>
      <w:proofErr w:type="spellEnd"/>
      <w:r w:rsidRPr="00605D29">
        <w:rPr>
          <w:rFonts w:ascii="Times New Roman" w:hAnsi="Times New Roman" w:cs="Times New Roman"/>
          <w:sz w:val="24"/>
          <w:szCs w:val="24"/>
        </w:rPr>
        <w:t xml:space="preserve"> apmēra palielinājumu nosaka decimaldaļskaitļos, </w:t>
      </w:r>
      <w:proofErr w:type="spellStart"/>
      <w:r w:rsidRPr="00605D29">
        <w:rPr>
          <w:rFonts w:ascii="Times New Roman" w:hAnsi="Times New Roman" w:cs="Times New Roman"/>
          <w:sz w:val="24"/>
          <w:szCs w:val="24"/>
        </w:rPr>
        <w:t>mērķstipendijām</w:t>
      </w:r>
      <w:proofErr w:type="spellEnd"/>
      <w:r w:rsidRPr="00605D29">
        <w:rPr>
          <w:rFonts w:ascii="Times New Roman" w:hAnsi="Times New Roman" w:cs="Times New Roman"/>
          <w:sz w:val="24"/>
          <w:szCs w:val="24"/>
        </w:rPr>
        <w:t xml:space="preserve"> pieejamās summas, </w:t>
      </w:r>
      <w:proofErr w:type="spellStart"/>
      <w:r w:rsidRPr="00605D29">
        <w:rPr>
          <w:rFonts w:ascii="Times New Roman" w:hAnsi="Times New Roman" w:cs="Times New Roman"/>
          <w:sz w:val="24"/>
          <w:szCs w:val="24"/>
        </w:rPr>
        <w:t>mērķstipendijas</w:t>
      </w:r>
      <w:proofErr w:type="spellEnd"/>
      <w:r w:rsidRPr="00605D29">
        <w:rPr>
          <w:rFonts w:ascii="Times New Roman" w:hAnsi="Times New Roman" w:cs="Times New Roman"/>
          <w:sz w:val="24"/>
          <w:szCs w:val="24"/>
        </w:rPr>
        <w:t xml:space="preserve"> apmēra un tās palielinājuma ierobežojuma ietvaros </w:t>
      </w:r>
      <w:proofErr w:type="spellStart"/>
      <w:r w:rsidRPr="00605D29">
        <w:rPr>
          <w:rFonts w:ascii="Times New Roman" w:hAnsi="Times New Roman" w:cs="Times New Roman"/>
          <w:sz w:val="24"/>
          <w:szCs w:val="24"/>
        </w:rPr>
        <w:t>mērķstipendiju</w:t>
      </w:r>
      <w:proofErr w:type="spellEnd"/>
      <w:r w:rsidRPr="00605D29">
        <w:rPr>
          <w:rFonts w:ascii="Times New Roman" w:hAnsi="Times New Roman" w:cs="Times New Roman"/>
          <w:sz w:val="24"/>
          <w:szCs w:val="24"/>
        </w:rPr>
        <w:t xml:space="preserve"> piešķiršanas komisija var lemt par </w:t>
      </w:r>
      <w:proofErr w:type="spellStart"/>
      <w:r w:rsidRPr="00605D29">
        <w:rPr>
          <w:rFonts w:ascii="Times New Roman" w:hAnsi="Times New Roman" w:cs="Times New Roman"/>
          <w:sz w:val="24"/>
          <w:szCs w:val="24"/>
        </w:rPr>
        <w:t>mērķstipendijas</w:t>
      </w:r>
      <w:proofErr w:type="spellEnd"/>
      <w:r w:rsidRPr="00605D29">
        <w:rPr>
          <w:rFonts w:ascii="Times New Roman" w:hAnsi="Times New Roman" w:cs="Times New Roman"/>
          <w:sz w:val="24"/>
          <w:szCs w:val="24"/>
        </w:rPr>
        <w:t xml:space="preserve"> palielinājuma decimāldaļu korekciju (izmantojot ASUS - „Izmaksu korekcija”), ņemot par pamatu nolikuma 19.punkta nosacījumus</w:t>
      </w:r>
      <w:r w:rsidR="00605D29">
        <w:rPr>
          <w:rFonts w:ascii="Times New Roman" w:hAnsi="Times New Roman" w:cs="Times New Roman"/>
          <w:sz w:val="24"/>
          <w:szCs w:val="24"/>
        </w:rPr>
        <w:t>.</w:t>
      </w:r>
    </w:p>
    <w:p w:rsidR="00605D29" w:rsidRDefault="00605D2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18. Ja visiem izglītojamiem, kuri atbilst 15.punkta nosacījumiem, saskaņā ar 16.punktu aprēķinātās </w:t>
      </w:r>
      <w:proofErr w:type="spellStart"/>
      <w:r>
        <w:rPr>
          <w:rFonts w:ascii="Times New Roman" w:hAnsi="Times New Roman" w:cs="Times New Roman"/>
          <w:sz w:val="24"/>
          <w:szCs w:val="24"/>
        </w:rPr>
        <w:t>mērķst</w:t>
      </w:r>
      <w:r w:rsidR="00617B59">
        <w:rPr>
          <w:rFonts w:ascii="Times New Roman" w:hAnsi="Times New Roman" w:cs="Times New Roman"/>
          <w:sz w:val="24"/>
          <w:szCs w:val="24"/>
        </w:rPr>
        <w:t>ipendijas</w:t>
      </w:r>
      <w:proofErr w:type="spellEnd"/>
      <w:r w:rsidR="00617B59">
        <w:rPr>
          <w:rFonts w:ascii="Times New Roman" w:hAnsi="Times New Roman" w:cs="Times New Roman"/>
          <w:sz w:val="24"/>
          <w:szCs w:val="24"/>
        </w:rPr>
        <w:t xml:space="preserve"> kopsumma ir lielāka par izglītības iestādei piešķirtā </w:t>
      </w:r>
      <w:proofErr w:type="spellStart"/>
      <w:r w:rsidR="00617B59">
        <w:rPr>
          <w:rFonts w:ascii="Times New Roman" w:hAnsi="Times New Roman" w:cs="Times New Roman"/>
          <w:sz w:val="24"/>
          <w:szCs w:val="24"/>
        </w:rPr>
        <w:t>mērķstipendiju</w:t>
      </w:r>
      <w:proofErr w:type="spellEnd"/>
      <w:r w:rsidR="00617B59">
        <w:rPr>
          <w:rFonts w:ascii="Times New Roman" w:hAnsi="Times New Roman" w:cs="Times New Roman"/>
          <w:sz w:val="24"/>
          <w:szCs w:val="24"/>
        </w:rPr>
        <w:t xml:space="preserve"> fonda apmēru, </w:t>
      </w:r>
      <w:proofErr w:type="spellStart"/>
      <w:r w:rsidR="00617B59">
        <w:rPr>
          <w:rFonts w:ascii="Times New Roman" w:hAnsi="Times New Roman" w:cs="Times New Roman"/>
          <w:sz w:val="24"/>
          <w:szCs w:val="24"/>
        </w:rPr>
        <w:t>mērķstipendijas</w:t>
      </w:r>
      <w:proofErr w:type="spellEnd"/>
      <w:r w:rsidR="00617B59">
        <w:rPr>
          <w:rFonts w:ascii="Times New Roman" w:hAnsi="Times New Roman" w:cs="Times New Roman"/>
          <w:sz w:val="24"/>
          <w:szCs w:val="24"/>
        </w:rPr>
        <w:t xml:space="preserve"> 16.punktā noteiktajā apmērā piešķir secīgi, sākot ar izglītojamo, kuram ir augstāks iepriekšējā mēneša sekmju vidējais vērtējums un mazāks neattaisnoti kavēto stundu skaits mēnesī.</w:t>
      </w:r>
    </w:p>
    <w:p w:rsidR="00617B59" w:rsidRDefault="00617B5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19.Ja vairākiem </w:t>
      </w:r>
      <w:proofErr w:type="spellStart"/>
      <w:r>
        <w:rPr>
          <w:rFonts w:ascii="Times New Roman" w:hAnsi="Times New Roman" w:cs="Times New Roman"/>
          <w:sz w:val="24"/>
          <w:szCs w:val="24"/>
        </w:rPr>
        <w:t>mērķstipendijas</w:t>
      </w:r>
      <w:proofErr w:type="spellEnd"/>
      <w:r>
        <w:rPr>
          <w:rFonts w:ascii="Times New Roman" w:hAnsi="Times New Roman" w:cs="Times New Roman"/>
          <w:sz w:val="24"/>
          <w:szCs w:val="24"/>
        </w:rPr>
        <w:t xml:space="preserve"> pretendentiem atbilstoši šo vadlīniju 16.punktam ir līdzvērtīgi rādītāji,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piešķir, ievērojot šādu secību:</w:t>
      </w:r>
    </w:p>
    <w:p w:rsidR="00617B59" w:rsidRDefault="00617B5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19.1.invalīdam, bārenim vai bez vecāku apgādības palikušajam, kā</w:t>
      </w:r>
      <w:r w:rsidR="0023408F">
        <w:rPr>
          <w:rFonts w:ascii="Times New Roman" w:hAnsi="Times New Roman" w:cs="Times New Roman"/>
          <w:sz w:val="24"/>
          <w:szCs w:val="24"/>
        </w:rPr>
        <w:t xml:space="preserve"> </w:t>
      </w:r>
      <w:r>
        <w:rPr>
          <w:rFonts w:ascii="Times New Roman" w:hAnsi="Times New Roman" w:cs="Times New Roman"/>
          <w:sz w:val="24"/>
          <w:szCs w:val="24"/>
        </w:rPr>
        <w:t>arī izglītojamajam no trūcīgas ģimenes;</w:t>
      </w:r>
    </w:p>
    <w:p w:rsidR="00617B59" w:rsidRDefault="00617B5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19.2. izglītojamajam no ģimenes, kurā audzina trīs vai vairāk bērnus;</w:t>
      </w:r>
    </w:p>
    <w:p w:rsidR="00617B59" w:rsidRDefault="00617B5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19.3.izglītojamajam, kas ir godalgots starptautiskajos, valsts, reģionālajos vai pašvaldību konkursos, skatēs vai izstādēs vai ir iesaistīts skolas sabiedriskās dzīves aktivitātēs.</w:t>
      </w:r>
    </w:p>
    <w:p w:rsidR="00617B59" w:rsidRDefault="00617B5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20.Mērķstipendijas apmēru samazina līdz 14.punktā noteiktajam minimālajam apmēram, ja izglītojamais:</w:t>
      </w:r>
    </w:p>
    <w:p w:rsidR="00617B59" w:rsidRDefault="00617B5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20.1. neievēro darba drošības un ugunsdrošības noteikumus;</w:t>
      </w:r>
    </w:p>
    <w:p w:rsidR="00617B59" w:rsidRDefault="00617B5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20.2.ar savu uzvedību izglītības iestādē un ārpus tās apkauno izglītības iestādes labo vārdu.</w:t>
      </w:r>
    </w:p>
    <w:p w:rsidR="00617B59" w:rsidRDefault="00617B59"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Mērķstipendiju</w:t>
      </w:r>
      <w:proofErr w:type="spellEnd"/>
      <w:r>
        <w:rPr>
          <w:rFonts w:ascii="Times New Roman" w:hAnsi="Times New Roman" w:cs="Times New Roman"/>
          <w:sz w:val="24"/>
          <w:szCs w:val="24"/>
        </w:rPr>
        <w:t xml:space="preserve"> nepiešķir, ja izglītojamais </w:t>
      </w:r>
      <w:r w:rsidR="002E29D0">
        <w:rPr>
          <w:rFonts w:ascii="Times New Roman" w:hAnsi="Times New Roman" w:cs="Times New Roman"/>
          <w:sz w:val="24"/>
          <w:szCs w:val="24"/>
        </w:rPr>
        <w:t>:</w:t>
      </w:r>
    </w:p>
    <w:p w:rsidR="002E29D0" w:rsidRDefault="002E29D0"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21.1.neievēro skolas iekšējās kārtības noteikumus;</w:t>
      </w:r>
    </w:p>
    <w:p w:rsidR="002E29D0" w:rsidRDefault="002E29D0"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21.2.neievēro dienesta viesnīcas kārtības noteikumu;</w:t>
      </w:r>
    </w:p>
    <w:p w:rsidR="002E29D0" w:rsidRDefault="002E29D0" w:rsidP="00C40C33">
      <w:pPr>
        <w:pStyle w:val="Sarakstarindkopa"/>
        <w:ind w:left="0"/>
        <w:rPr>
          <w:rFonts w:ascii="Times New Roman" w:hAnsi="Times New Roman" w:cs="Times New Roman"/>
          <w:sz w:val="24"/>
          <w:szCs w:val="24"/>
        </w:rPr>
      </w:pPr>
      <w:r>
        <w:rPr>
          <w:rFonts w:ascii="Times New Roman" w:hAnsi="Times New Roman" w:cs="Times New Roman"/>
          <w:sz w:val="24"/>
          <w:szCs w:val="24"/>
        </w:rPr>
        <w:t>21.3.atrodas skolās alkohola vai citu apreibinošu vielu iedarbībā.</w:t>
      </w:r>
    </w:p>
    <w:p w:rsidR="00617B59" w:rsidRPr="00605D29" w:rsidRDefault="00617B59" w:rsidP="00C40C33">
      <w:pPr>
        <w:pStyle w:val="Sarakstarindkopa"/>
        <w:ind w:left="0"/>
        <w:rPr>
          <w:rFonts w:ascii="Times New Roman" w:hAnsi="Times New Roman" w:cs="Times New Roman"/>
          <w:sz w:val="24"/>
          <w:szCs w:val="24"/>
        </w:rPr>
      </w:pPr>
    </w:p>
    <w:p w:rsidR="00C40C33" w:rsidRPr="00C72BE7" w:rsidRDefault="0023408F" w:rsidP="00C40C33">
      <w:pPr>
        <w:pStyle w:val="Sarakstarindkopa"/>
        <w:ind w:left="0"/>
        <w:rPr>
          <w:rFonts w:ascii="Times New Roman" w:hAnsi="Times New Roman" w:cs="Times New Roman"/>
          <w:b/>
          <w:sz w:val="24"/>
          <w:szCs w:val="24"/>
        </w:rPr>
      </w:pPr>
      <w:r>
        <w:rPr>
          <w:rFonts w:ascii="Times New Roman" w:hAnsi="Times New Roman" w:cs="Times New Roman"/>
          <w:b/>
          <w:sz w:val="24"/>
          <w:szCs w:val="24"/>
        </w:rPr>
        <w:t>Direktore                                      Dace CINE</w:t>
      </w:r>
    </w:p>
    <w:sectPr w:rsidR="00C40C33" w:rsidRPr="00C72BE7" w:rsidSect="0023408F">
      <w:pgSz w:w="11906" w:h="16838"/>
      <w:pgMar w:top="567" w:right="849"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07E"/>
    <w:multiLevelType w:val="hybridMultilevel"/>
    <w:tmpl w:val="5130155C"/>
    <w:lvl w:ilvl="0" w:tplc="31FAB5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4342A9B"/>
    <w:multiLevelType w:val="hybridMultilevel"/>
    <w:tmpl w:val="21F6520C"/>
    <w:lvl w:ilvl="0" w:tplc="B4C46BE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F04732F"/>
    <w:multiLevelType w:val="multilevel"/>
    <w:tmpl w:val="23D63CC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lowerRoman"/>
      <w:isLgl/>
      <w:lvlText w:val="%1.%2.%3."/>
      <w:lvlJc w:val="left"/>
      <w:pPr>
        <w:ind w:left="2160" w:hanging="108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5753"/>
    <w:rsid w:val="0002520C"/>
    <w:rsid w:val="000606CC"/>
    <w:rsid w:val="000F1DC3"/>
    <w:rsid w:val="000F770B"/>
    <w:rsid w:val="0023408F"/>
    <w:rsid w:val="002E29D0"/>
    <w:rsid w:val="00303F19"/>
    <w:rsid w:val="003D5D1E"/>
    <w:rsid w:val="004D06FD"/>
    <w:rsid w:val="004D431E"/>
    <w:rsid w:val="00501171"/>
    <w:rsid w:val="0055608D"/>
    <w:rsid w:val="00580E60"/>
    <w:rsid w:val="005861AA"/>
    <w:rsid w:val="0059360B"/>
    <w:rsid w:val="00605D29"/>
    <w:rsid w:val="00617B59"/>
    <w:rsid w:val="006A3714"/>
    <w:rsid w:val="006F3D34"/>
    <w:rsid w:val="00720D3B"/>
    <w:rsid w:val="00864CBD"/>
    <w:rsid w:val="008B1360"/>
    <w:rsid w:val="008C3996"/>
    <w:rsid w:val="0095039D"/>
    <w:rsid w:val="00AE5F7A"/>
    <w:rsid w:val="00BB41A8"/>
    <w:rsid w:val="00BD0929"/>
    <w:rsid w:val="00BE3DF1"/>
    <w:rsid w:val="00C15753"/>
    <w:rsid w:val="00C40C33"/>
    <w:rsid w:val="00C72BE7"/>
    <w:rsid w:val="00D071D9"/>
    <w:rsid w:val="00D242C2"/>
    <w:rsid w:val="00D91C23"/>
    <w:rsid w:val="00E63557"/>
    <w:rsid w:val="00E73803"/>
    <w:rsid w:val="00E82A87"/>
    <w:rsid w:val="00EA189D"/>
    <w:rsid w:val="00EB37F1"/>
    <w:rsid w:val="00ED3D23"/>
    <w:rsid w:val="00F05BB3"/>
    <w:rsid w:val="00F628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E3DF1"/>
  </w:style>
  <w:style w:type="paragraph" w:styleId="Virsraksts1">
    <w:name w:val="heading 1"/>
    <w:basedOn w:val="Parastais"/>
    <w:next w:val="Parastais"/>
    <w:link w:val="Virsraksts1Rakstz"/>
    <w:qFormat/>
    <w:rsid w:val="002E29D0"/>
    <w:pPr>
      <w:keepNext/>
      <w:spacing w:after="0" w:line="240" w:lineRule="auto"/>
      <w:jc w:val="center"/>
      <w:outlineLvl w:val="0"/>
    </w:pPr>
    <w:rPr>
      <w:rFonts w:ascii="Times New Roman" w:eastAsia="Times New Roman" w:hAnsi="Times New Roman" w:cs="Times New Roman"/>
      <w:b/>
      <w:sz w:val="20"/>
      <w:szCs w:val="20"/>
    </w:rPr>
  </w:style>
  <w:style w:type="paragraph" w:styleId="Virsraksts2">
    <w:name w:val="heading 2"/>
    <w:basedOn w:val="Parastais"/>
    <w:next w:val="Parastais"/>
    <w:link w:val="Virsraksts2Rakstz"/>
    <w:qFormat/>
    <w:rsid w:val="002E29D0"/>
    <w:pPr>
      <w:keepNext/>
      <w:spacing w:after="0" w:line="240" w:lineRule="auto"/>
      <w:jc w:val="center"/>
      <w:outlineLvl w:val="1"/>
    </w:pPr>
    <w:rPr>
      <w:rFonts w:ascii="Times New Roman" w:eastAsia="Times New Roman" w:hAnsi="Times New Roman" w:cs="Times New Roman"/>
      <w:b/>
      <w:i/>
      <w:sz w:val="28"/>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C15753"/>
    <w:pPr>
      <w:ind w:left="720"/>
      <w:contextualSpacing/>
    </w:pPr>
  </w:style>
  <w:style w:type="paragraph" w:customStyle="1" w:styleId="Sarakstarindkopa1">
    <w:name w:val="Saraksta rindkopa1"/>
    <w:basedOn w:val="Parastais"/>
    <w:qFormat/>
    <w:rsid w:val="00C72BE7"/>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Virsraksts1Rakstz">
    <w:name w:val="Virsraksts 1 Rakstz."/>
    <w:basedOn w:val="Noklusjumarindkopasfonts"/>
    <w:link w:val="Virsraksts1"/>
    <w:rsid w:val="002E29D0"/>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2E29D0"/>
    <w:rPr>
      <w:rFonts w:ascii="Times New Roman" w:eastAsia="Times New Roman" w:hAnsi="Times New Roman" w:cs="Times New Roman"/>
      <w:b/>
      <w:i/>
      <w:sz w:val="28"/>
      <w:szCs w:val="20"/>
      <w:lang w:val="en-US"/>
    </w:rPr>
  </w:style>
  <w:style w:type="paragraph" w:styleId="Galvene">
    <w:name w:val="header"/>
    <w:basedOn w:val="Parastais"/>
    <w:link w:val="GalveneRakstz"/>
    <w:rsid w:val="002E29D0"/>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GalveneRakstz">
    <w:name w:val="Galvene Rakstz."/>
    <w:basedOn w:val="Noklusjumarindkopasfonts"/>
    <w:link w:val="Galvene"/>
    <w:rsid w:val="002E29D0"/>
    <w:rPr>
      <w:rFonts w:ascii="Times New Roman" w:eastAsia="Times New Roman" w:hAnsi="Times New Roman" w:cs="Times New Roman"/>
      <w:sz w:val="24"/>
      <w:szCs w:val="24"/>
      <w:lang w:val="en-GB" w:eastAsia="en-US"/>
    </w:rPr>
  </w:style>
  <w:style w:type="paragraph" w:styleId="Balonteksts">
    <w:name w:val="Balloon Text"/>
    <w:basedOn w:val="Parastais"/>
    <w:link w:val="BalontekstsRakstz"/>
    <w:uiPriority w:val="99"/>
    <w:semiHidden/>
    <w:unhideWhenUsed/>
    <w:rsid w:val="002E29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2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7015</Words>
  <Characters>4000</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KTTPV</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Klavina</dc:creator>
  <cp:keywords/>
  <dc:description/>
  <cp:lastModifiedBy>Dace Cine</cp:lastModifiedBy>
  <cp:revision>6</cp:revision>
  <cp:lastPrinted>2014-03-11T16:56:00Z</cp:lastPrinted>
  <dcterms:created xsi:type="dcterms:W3CDTF">2014-02-20T19:22:00Z</dcterms:created>
  <dcterms:modified xsi:type="dcterms:W3CDTF">2014-03-13T15:09:00Z</dcterms:modified>
</cp:coreProperties>
</file>