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74" w:rsidRDefault="008A55D6" w:rsidP="00486B74">
      <w:pPr>
        <w:tabs>
          <w:tab w:val="left" w:pos="7873"/>
        </w:tabs>
        <w:jc w:val="center"/>
        <w:rPr>
          <w:b/>
          <w:sz w:val="56"/>
          <w:szCs w:val="56"/>
        </w:rPr>
      </w:pPr>
      <w:r>
        <w:rPr>
          <w:b/>
          <w:sz w:val="56"/>
          <w:szCs w:val="56"/>
        </w:rPr>
        <w:t xml:space="preserve">  </w:t>
      </w:r>
      <w:r w:rsidR="00486B74" w:rsidRPr="00341C73">
        <w:rPr>
          <w:b/>
          <w:sz w:val="56"/>
          <w:szCs w:val="56"/>
        </w:rPr>
        <w:t>Kuldīgas Tehnoloģiju un tūrisma tehnikuma</w:t>
      </w:r>
    </w:p>
    <w:p w:rsidR="00486B74" w:rsidRPr="00341C73" w:rsidRDefault="00486B74" w:rsidP="00486B74">
      <w:pPr>
        <w:tabs>
          <w:tab w:val="left" w:pos="7873"/>
        </w:tabs>
        <w:jc w:val="center"/>
        <w:rPr>
          <w:b/>
          <w:sz w:val="56"/>
          <w:szCs w:val="56"/>
        </w:rPr>
      </w:pPr>
    </w:p>
    <w:p w:rsidR="005B28BE" w:rsidRDefault="00486B74" w:rsidP="00486B74">
      <w:pPr>
        <w:tabs>
          <w:tab w:val="left" w:pos="7873"/>
        </w:tabs>
        <w:jc w:val="center"/>
        <w:rPr>
          <w:b/>
          <w:sz w:val="56"/>
          <w:szCs w:val="56"/>
        </w:rPr>
      </w:pPr>
      <w:r w:rsidRPr="00341C73">
        <w:rPr>
          <w:b/>
          <w:sz w:val="56"/>
          <w:szCs w:val="56"/>
        </w:rPr>
        <w:t xml:space="preserve">VISC centralizēto eksāmenu </w:t>
      </w:r>
      <w:r w:rsidR="005B28BE">
        <w:rPr>
          <w:b/>
          <w:sz w:val="56"/>
          <w:szCs w:val="56"/>
        </w:rPr>
        <w:t>analīze</w:t>
      </w:r>
    </w:p>
    <w:p w:rsidR="00486B74" w:rsidRDefault="005B28BE" w:rsidP="00486B74">
      <w:pPr>
        <w:tabs>
          <w:tab w:val="left" w:pos="7873"/>
        </w:tabs>
        <w:jc w:val="center"/>
        <w:rPr>
          <w:b/>
          <w:sz w:val="56"/>
          <w:szCs w:val="56"/>
        </w:rPr>
      </w:pPr>
      <w:r>
        <w:rPr>
          <w:b/>
          <w:sz w:val="56"/>
          <w:szCs w:val="56"/>
        </w:rPr>
        <w:t xml:space="preserve"> 2013./2014.m.g.</w:t>
      </w:r>
    </w:p>
    <w:p w:rsidR="005B28BE" w:rsidRDefault="005B28BE" w:rsidP="00486B74">
      <w:pPr>
        <w:tabs>
          <w:tab w:val="left" w:pos="7873"/>
        </w:tabs>
        <w:jc w:val="center"/>
        <w:rPr>
          <w:b/>
          <w:sz w:val="56"/>
          <w:szCs w:val="56"/>
        </w:rPr>
      </w:pPr>
      <w:r>
        <w:rPr>
          <w:b/>
          <w:sz w:val="56"/>
          <w:szCs w:val="56"/>
        </w:rPr>
        <w:t>2014./2015.m.g.</w:t>
      </w:r>
    </w:p>
    <w:p w:rsidR="00862F51" w:rsidRDefault="00862F51" w:rsidP="00862F51">
      <w:pPr>
        <w:tabs>
          <w:tab w:val="left" w:pos="7873"/>
        </w:tabs>
        <w:jc w:val="center"/>
        <w:rPr>
          <w:b/>
          <w:sz w:val="56"/>
          <w:szCs w:val="56"/>
        </w:rPr>
      </w:pPr>
      <w:r>
        <w:rPr>
          <w:b/>
          <w:sz w:val="56"/>
          <w:szCs w:val="56"/>
        </w:rPr>
        <w:t>2015./2016.m.g.</w:t>
      </w:r>
    </w:p>
    <w:p w:rsidR="00872179" w:rsidRPr="00341C73" w:rsidRDefault="00E55859" w:rsidP="00872179">
      <w:pPr>
        <w:tabs>
          <w:tab w:val="left" w:pos="7873"/>
        </w:tabs>
        <w:jc w:val="center"/>
        <w:rPr>
          <w:b/>
          <w:sz w:val="56"/>
          <w:szCs w:val="56"/>
        </w:rPr>
      </w:pPr>
      <w:r>
        <w:rPr>
          <w:b/>
          <w:sz w:val="56"/>
          <w:szCs w:val="56"/>
        </w:rPr>
        <w:t>2016./2017</w:t>
      </w:r>
      <w:r w:rsidR="00872179">
        <w:rPr>
          <w:b/>
          <w:sz w:val="56"/>
          <w:szCs w:val="56"/>
        </w:rPr>
        <w:t>.m.g.</w:t>
      </w:r>
    </w:p>
    <w:p w:rsidR="00872179" w:rsidRPr="00341C73" w:rsidRDefault="00872179" w:rsidP="00862F51">
      <w:pPr>
        <w:tabs>
          <w:tab w:val="left" w:pos="7873"/>
        </w:tabs>
        <w:jc w:val="center"/>
        <w:rPr>
          <w:b/>
          <w:sz w:val="56"/>
          <w:szCs w:val="56"/>
        </w:rPr>
      </w:pPr>
    </w:p>
    <w:p w:rsidR="00862F51" w:rsidRPr="00341C73" w:rsidRDefault="00862F51" w:rsidP="00486B74">
      <w:pPr>
        <w:tabs>
          <w:tab w:val="left" w:pos="7873"/>
        </w:tabs>
        <w:jc w:val="center"/>
        <w:rPr>
          <w:b/>
          <w:sz w:val="56"/>
          <w:szCs w:val="56"/>
        </w:rPr>
      </w:pPr>
    </w:p>
    <w:p w:rsidR="00486B74" w:rsidRDefault="00486B74"/>
    <w:p w:rsidR="00486B74" w:rsidRDefault="00486B74">
      <w:r>
        <w:br w:type="page"/>
      </w:r>
    </w:p>
    <w:p w:rsidR="00F44B5E" w:rsidRDefault="00354D36">
      <w:r>
        <w:rPr>
          <w:noProof/>
          <w:lang w:eastAsia="lv-LV"/>
        </w:rPr>
        <w:lastRenderedPageBreak/>
        <w:drawing>
          <wp:inline distT="0" distB="0" distL="0" distR="0">
            <wp:extent cx="5401487" cy="3057732"/>
            <wp:effectExtent l="19050" t="0" r="27763" b="9318"/>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56F9" w:rsidRPr="00C06D70" w:rsidRDefault="007B7F02" w:rsidP="004A7E40">
      <w:pPr>
        <w:rPr>
          <w:rFonts w:ascii="Calibri" w:eastAsia="Calibri" w:hAnsi="Calibri" w:cs="Times New Roman"/>
        </w:rPr>
      </w:pPr>
      <w:r w:rsidRPr="00C06D70">
        <w:t>Centralizētā  eksāmena angļu valodā</w:t>
      </w:r>
      <w:r w:rsidR="00B756F9" w:rsidRPr="00C06D70">
        <w:rPr>
          <w:rFonts w:ascii="Calibri" w:eastAsia="Calibri" w:hAnsi="Calibri" w:cs="Times New Roman"/>
        </w:rPr>
        <w:t xml:space="preserve">  rezultāti</w:t>
      </w:r>
      <w:r w:rsidR="005B7CD7">
        <w:rPr>
          <w:rFonts w:ascii="Calibri" w:eastAsia="Calibri" w:hAnsi="Calibri" w:cs="Times New Roman"/>
        </w:rPr>
        <w:t xml:space="preserve"> vidēji ir sliktāki kā iepriekšējā mācību gadā, tas izskaidrojams ar to, ka liels skaits audzēkņu ir uzsākuši darba attiecības, skolu apmeklē neregulāri un zināšanas ir viduvējas. Salīdzinot iegūtos līmeņus redzam, ka ir palielinājies B2 ieguvušo audzēkņu skaits un mazāk audzēkņu ieguvuši B1 līmeni.</w:t>
      </w:r>
    </w:p>
    <w:p w:rsidR="004A7E40" w:rsidRDefault="00322B1E">
      <w:r>
        <w:rPr>
          <w:noProof/>
          <w:lang w:eastAsia="lv-LV"/>
        </w:rPr>
        <w:drawing>
          <wp:inline distT="0" distB="0" distL="0" distR="0">
            <wp:extent cx="6147834" cy="2562447"/>
            <wp:effectExtent l="19050" t="0" r="24366" b="9303"/>
            <wp:docPr id="7"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7E40" w:rsidRPr="004A7E40" w:rsidRDefault="004A7E40" w:rsidP="004A7E40">
      <w:pPr>
        <w:rPr>
          <w:rFonts w:ascii="Calibri" w:eastAsia="Calibri" w:hAnsi="Calibri" w:cs="Times New Roman"/>
        </w:rPr>
      </w:pPr>
      <w:r w:rsidRPr="004A7E40">
        <w:t>Centralizētā  eksāmena latviešu valodā</w:t>
      </w:r>
      <w:r w:rsidRPr="004A7E40">
        <w:rPr>
          <w:rFonts w:ascii="Calibri" w:eastAsia="Calibri" w:hAnsi="Calibri" w:cs="Times New Roman"/>
        </w:rPr>
        <w:t xml:space="preserve">  rezultāti</w:t>
      </w:r>
      <w:r w:rsidR="002B3DD1">
        <w:rPr>
          <w:rFonts w:ascii="Calibri" w:eastAsia="Calibri" w:hAnsi="Calibri" w:cs="Times New Roman"/>
        </w:rPr>
        <w:t xml:space="preserve"> norāda uz </w:t>
      </w:r>
      <w:r w:rsidRPr="004A7E40">
        <w:rPr>
          <w:rFonts w:ascii="Calibri" w:eastAsia="Calibri" w:hAnsi="Calibri" w:cs="Times New Roman"/>
        </w:rPr>
        <w:t xml:space="preserve">izglītojamo  mācību  sasniegumu  </w:t>
      </w:r>
      <w:r w:rsidR="002B3DD1">
        <w:t>pasliktināšanos, iemesls noteikti ir darba attiecību uzsākšana un neapmeklētas nodarbības</w:t>
      </w:r>
      <w:r w:rsidRPr="004A7E40">
        <w:t xml:space="preserve">. Nav neviena, kurš eksāmenā būtu saņēmis zem </w:t>
      </w:r>
      <w:r w:rsidR="002B3DD1">
        <w:t>11</w:t>
      </w:r>
      <w:r w:rsidRPr="004A7E40">
        <w:rPr>
          <w:rFonts w:ascii="Calibri" w:eastAsia="Calibri" w:hAnsi="Calibri" w:cs="Times New Roman"/>
        </w:rPr>
        <w:t>%</w:t>
      </w:r>
      <w:r w:rsidRPr="004A7E40">
        <w:t xml:space="preserve">, ievērojami palielinājies audzēkņu skaits, ar vērtējumu </w:t>
      </w:r>
      <w:r w:rsidR="002B3DD1">
        <w:t>31-40</w:t>
      </w:r>
      <w:r w:rsidRPr="004A7E40">
        <w:rPr>
          <w:rFonts w:ascii="Calibri" w:eastAsia="Calibri" w:hAnsi="Calibri" w:cs="Times New Roman"/>
        </w:rPr>
        <w:t>%</w:t>
      </w:r>
      <w:r w:rsidR="002B3DD1">
        <w:t xml:space="preserve"> un ievērojami samazinājies </w:t>
      </w:r>
      <w:r w:rsidR="002B3DD1" w:rsidRPr="004A7E40">
        <w:t xml:space="preserve">audzēkņu skaits, ar vērtējumu </w:t>
      </w:r>
      <w:r w:rsidR="002B3DD1">
        <w:t>virs 51…</w:t>
      </w:r>
      <w:r w:rsidR="002B3DD1" w:rsidRPr="004A7E40">
        <w:rPr>
          <w:rFonts w:ascii="Calibri" w:eastAsia="Calibri" w:hAnsi="Calibri" w:cs="Times New Roman"/>
        </w:rPr>
        <w:t>%</w:t>
      </w:r>
      <w:r w:rsidR="002B3DD1">
        <w:rPr>
          <w:rFonts w:ascii="Calibri" w:eastAsia="Calibri" w:hAnsi="Calibri" w:cs="Times New Roman"/>
        </w:rPr>
        <w:t>.</w:t>
      </w:r>
    </w:p>
    <w:p w:rsidR="00F44B5E" w:rsidRPr="004A7E40" w:rsidRDefault="00F44B5E">
      <w:r w:rsidRPr="004A7E40">
        <w:br w:type="page"/>
      </w:r>
    </w:p>
    <w:p w:rsidR="00F44B5E" w:rsidRDefault="00322B1E">
      <w:r>
        <w:rPr>
          <w:noProof/>
          <w:lang w:eastAsia="lv-LV"/>
        </w:rPr>
        <w:lastRenderedPageBreak/>
        <w:drawing>
          <wp:inline distT="0" distB="0" distL="0" distR="0">
            <wp:extent cx="5397042" cy="2690037"/>
            <wp:effectExtent l="19050" t="0" r="13158" b="0"/>
            <wp:docPr id="8"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7E40" w:rsidRPr="00A96842" w:rsidRDefault="004A7E40">
      <w:r>
        <w:t>Analizējot eksāmena rezultātus Latvijas un pasaules vēsturē jāsecina, ka</w:t>
      </w:r>
      <w:r w:rsidR="00A96842">
        <w:t xml:space="preserve"> rezultāti ir </w:t>
      </w:r>
      <w:r w:rsidR="002B3DD1">
        <w:t>uzlabojušies</w:t>
      </w:r>
      <w:r w:rsidR="00A96842">
        <w:t xml:space="preserve">,  ir palielinājies izglītojamo skaits, kuri eksāmena vērtējumā ieguvuši </w:t>
      </w:r>
      <w:r w:rsidR="001303B1">
        <w:t>virs 40</w:t>
      </w:r>
      <w:r w:rsidR="00A96842" w:rsidRPr="00A96842">
        <w:rPr>
          <w:rFonts w:ascii="Calibri" w:eastAsia="Calibri" w:hAnsi="Calibri" w:cs="Times New Roman"/>
        </w:rPr>
        <w:t>%</w:t>
      </w:r>
      <w:r w:rsidR="00A96842" w:rsidRPr="00A96842">
        <w:t xml:space="preserve">, </w:t>
      </w:r>
      <w:r w:rsidR="001303B1">
        <w:t>eksāmenu kārtojušo skaits ir samazinājies, aktualizējot mācību plānus.</w:t>
      </w:r>
    </w:p>
    <w:p w:rsidR="00B756F9" w:rsidRDefault="00B756F9"/>
    <w:p w:rsidR="00F44B5E" w:rsidRDefault="00F44B5E">
      <w:r>
        <w:rPr>
          <w:noProof/>
          <w:lang w:eastAsia="lv-LV"/>
        </w:rPr>
        <w:drawing>
          <wp:inline distT="0" distB="0" distL="0" distR="0">
            <wp:extent cx="5392922" cy="3177230"/>
            <wp:effectExtent l="19050" t="0" r="17278" b="412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6842" w:rsidRDefault="00A96842">
      <w:r>
        <w:t xml:space="preserve">Eksāmena rezultāti ir </w:t>
      </w:r>
      <w:r w:rsidR="001303B1">
        <w:t>pasliktinājušies</w:t>
      </w:r>
      <w:r>
        <w:t xml:space="preserve"> fizikā, </w:t>
      </w:r>
      <w:r w:rsidR="001303B1">
        <w:t>eksāmenam pieteicās 16 audzēkņi,</w:t>
      </w:r>
      <w:r>
        <w:t xml:space="preserve"> bet </w:t>
      </w:r>
      <w:r w:rsidR="001303B1">
        <w:t xml:space="preserve">tā kā šis ir izvēles eksāmens, 9 atteicās </w:t>
      </w:r>
      <w:r>
        <w:t xml:space="preserve">kārtot </w:t>
      </w:r>
      <w:r w:rsidR="001303B1">
        <w:t>eksāmenu.</w:t>
      </w:r>
    </w:p>
    <w:p w:rsidR="00341C73" w:rsidRDefault="005933DC">
      <w:r>
        <w:br w:type="page"/>
      </w:r>
      <w:r w:rsidR="006709E9">
        <w:rPr>
          <w:noProof/>
          <w:lang w:eastAsia="lv-LV"/>
        </w:rPr>
        <w:lastRenderedPageBreak/>
        <w:drawing>
          <wp:inline distT="0" distB="0" distL="0" distR="0">
            <wp:extent cx="5509880" cy="3094074"/>
            <wp:effectExtent l="19050" t="0" r="14620"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1C73" w:rsidRDefault="001303B1" w:rsidP="00341C73">
      <w:r>
        <w:t xml:space="preserve">Matemātikas eksāmena rezultāts parāda </w:t>
      </w:r>
      <w:r w:rsidR="0064032C">
        <w:t>vājās pamatzināšanas, izglītojamo motivācijas trūkums un arī kavējumi.</w:t>
      </w:r>
      <w:r>
        <w:t xml:space="preserve"> 2 izglītojamie eksāmenu nenokārtoja, divi audzēkņi veiksmīgi nokārtoja atkārtoto eksāmenu .</w:t>
      </w:r>
    </w:p>
    <w:p w:rsidR="00341C73" w:rsidRDefault="00341C73" w:rsidP="00486B74">
      <w:pPr>
        <w:tabs>
          <w:tab w:val="left" w:pos="7873"/>
        </w:tabs>
        <w:rPr>
          <w:b/>
          <w:sz w:val="56"/>
          <w:szCs w:val="56"/>
        </w:rPr>
      </w:pPr>
      <w:r>
        <w:tab/>
      </w:r>
    </w:p>
    <w:sectPr w:rsidR="00341C73" w:rsidSect="00B756F9">
      <w:pgSz w:w="11906" w:h="16838"/>
      <w:pgMar w:top="1440" w:right="1134"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A6" w:rsidRDefault="00B22AA6" w:rsidP="00F44B5E">
      <w:pPr>
        <w:spacing w:after="0" w:line="240" w:lineRule="auto"/>
      </w:pPr>
      <w:r>
        <w:separator/>
      </w:r>
    </w:p>
  </w:endnote>
  <w:endnote w:type="continuationSeparator" w:id="1">
    <w:p w:rsidR="00B22AA6" w:rsidRDefault="00B22AA6" w:rsidP="00F44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A6" w:rsidRDefault="00B22AA6" w:rsidP="00F44B5E">
      <w:pPr>
        <w:spacing w:after="0" w:line="240" w:lineRule="auto"/>
      </w:pPr>
      <w:r>
        <w:separator/>
      </w:r>
    </w:p>
  </w:footnote>
  <w:footnote w:type="continuationSeparator" w:id="1">
    <w:p w:rsidR="00B22AA6" w:rsidRDefault="00B22AA6" w:rsidP="00F44B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D36"/>
    <w:rsid w:val="00017626"/>
    <w:rsid w:val="00032DAB"/>
    <w:rsid w:val="000B675D"/>
    <w:rsid w:val="001303B1"/>
    <w:rsid w:val="0013653D"/>
    <w:rsid w:val="00142651"/>
    <w:rsid w:val="00200D27"/>
    <w:rsid w:val="002B1B50"/>
    <w:rsid w:val="002B3DD1"/>
    <w:rsid w:val="002B5151"/>
    <w:rsid w:val="002F6339"/>
    <w:rsid w:val="002F69A0"/>
    <w:rsid w:val="00322B1E"/>
    <w:rsid w:val="00341C73"/>
    <w:rsid w:val="00354D36"/>
    <w:rsid w:val="0037555B"/>
    <w:rsid w:val="003F0C16"/>
    <w:rsid w:val="00431081"/>
    <w:rsid w:val="00450D7C"/>
    <w:rsid w:val="00486B74"/>
    <w:rsid w:val="004A7E40"/>
    <w:rsid w:val="004C5206"/>
    <w:rsid w:val="005933DC"/>
    <w:rsid w:val="005B28BE"/>
    <w:rsid w:val="005B7CD7"/>
    <w:rsid w:val="005D2B22"/>
    <w:rsid w:val="00606326"/>
    <w:rsid w:val="0064032C"/>
    <w:rsid w:val="006709E9"/>
    <w:rsid w:val="006F1846"/>
    <w:rsid w:val="00780F2A"/>
    <w:rsid w:val="00783F7E"/>
    <w:rsid w:val="007A43E1"/>
    <w:rsid w:val="007B7F02"/>
    <w:rsid w:val="00862F51"/>
    <w:rsid w:val="00867F42"/>
    <w:rsid w:val="00872179"/>
    <w:rsid w:val="008A55D6"/>
    <w:rsid w:val="009A7592"/>
    <w:rsid w:val="00A04D35"/>
    <w:rsid w:val="00A23886"/>
    <w:rsid w:val="00A47CA1"/>
    <w:rsid w:val="00A63597"/>
    <w:rsid w:val="00A8233E"/>
    <w:rsid w:val="00A96842"/>
    <w:rsid w:val="00AF54E4"/>
    <w:rsid w:val="00B22AA6"/>
    <w:rsid w:val="00B62C9C"/>
    <w:rsid w:val="00B633AA"/>
    <w:rsid w:val="00B756F9"/>
    <w:rsid w:val="00BC68A9"/>
    <w:rsid w:val="00BF5570"/>
    <w:rsid w:val="00C06D70"/>
    <w:rsid w:val="00C06F71"/>
    <w:rsid w:val="00C214B1"/>
    <w:rsid w:val="00CA6016"/>
    <w:rsid w:val="00CA695B"/>
    <w:rsid w:val="00CA7C31"/>
    <w:rsid w:val="00D4024C"/>
    <w:rsid w:val="00D55030"/>
    <w:rsid w:val="00D67F5B"/>
    <w:rsid w:val="00D90FBB"/>
    <w:rsid w:val="00E55859"/>
    <w:rsid w:val="00EB6598"/>
    <w:rsid w:val="00EE1865"/>
    <w:rsid w:val="00F17915"/>
    <w:rsid w:val="00F41E72"/>
    <w:rsid w:val="00F44B5E"/>
    <w:rsid w:val="00FB3709"/>
    <w:rsid w:val="00FB53E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62C9C"/>
  </w:style>
  <w:style w:type="paragraph" w:styleId="Virsraksts1">
    <w:name w:val="heading 1"/>
    <w:basedOn w:val="Parastais"/>
    <w:next w:val="Parastais"/>
    <w:link w:val="Virsraksts1Rakstz"/>
    <w:uiPriority w:val="9"/>
    <w:qFormat/>
    <w:rsid w:val="002B5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354D3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54D36"/>
    <w:rPr>
      <w:rFonts w:ascii="Tahoma" w:hAnsi="Tahoma" w:cs="Tahoma"/>
      <w:sz w:val="16"/>
      <w:szCs w:val="16"/>
    </w:rPr>
  </w:style>
  <w:style w:type="paragraph" w:styleId="Galvene">
    <w:name w:val="header"/>
    <w:basedOn w:val="Parastais"/>
    <w:link w:val="GalveneRakstz"/>
    <w:uiPriority w:val="99"/>
    <w:semiHidden/>
    <w:unhideWhenUsed/>
    <w:rsid w:val="00F44B5E"/>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F44B5E"/>
  </w:style>
  <w:style w:type="paragraph" w:styleId="Kjene">
    <w:name w:val="footer"/>
    <w:basedOn w:val="Parastais"/>
    <w:link w:val="KjeneRakstz"/>
    <w:uiPriority w:val="99"/>
    <w:semiHidden/>
    <w:unhideWhenUsed/>
    <w:rsid w:val="00F44B5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44B5E"/>
  </w:style>
  <w:style w:type="character" w:customStyle="1" w:styleId="Virsraksts1Rakstz">
    <w:name w:val="Virsraksts 1 Rakstz."/>
    <w:basedOn w:val="Noklusjumarindkopasfonts"/>
    <w:link w:val="Virsraksts1"/>
    <w:uiPriority w:val="9"/>
    <w:rsid w:val="002B515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darblapa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darblapa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darblapa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darblapa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darblapa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VISC</a:t>
            </a:r>
            <a:r>
              <a:rPr lang="lv-LV" baseline="0"/>
              <a:t> centralizētais eksāmens angļu valodā</a:t>
            </a:r>
            <a:endParaRPr lang="lv-LV"/>
          </a:p>
        </c:rich>
      </c:tx>
    </c:title>
    <c:plotArea>
      <c:layout/>
      <c:barChart>
        <c:barDir val="col"/>
        <c:grouping val="clustered"/>
        <c:ser>
          <c:idx val="0"/>
          <c:order val="0"/>
          <c:tx>
            <c:strRef>
              <c:f>Lapa1!$B$1</c:f>
              <c:strCache>
                <c:ptCount val="1"/>
                <c:pt idx="0">
                  <c:v>2013./2014.m.g.-62, vid.vērt. 39,5%</c:v>
                </c:pt>
              </c:strCache>
            </c:strRef>
          </c:tx>
          <c:cat>
            <c:strRef>
              <c:f>Lapa1!$A$2:$A$9</c:f>
              <c:strCache>
                <c:ptCount val="8"/>
                <c:pt idx="0">
                  <c:v>5-10%</c:v>
                </c:pt>
                <c:pt idx="1">
                  <c:v>11-20%</c:v>
                </c:pt>
                <c:pt idx="2">
                  <c:v>21-30%</c:v>
                </c:pt>
                <c:pt idx="3">
                  <c:v>31-40%</c:v>
                </c:pt>
                <c:pt idx="4">
                  <c:v>41-50%</c:v>
                </c:pt>
                <c:pt idx="5">
                  <c:v>51-...%</c:v>
                </c:pt>
                <c:pt idx="6">
                  <c:v> B1</c:v>
                </c:pt>
                <c:pt idx="7">
                  <c:v>B2</c:v>
                </c:pt>
              </c:strCache>
            </c:strRef>
          </c:cat>
          <c:val>
            <c:numRef>
              <c:f>Lapa1!$B$2:$B$9</c:f>
              <c:numCache>
                <c:formatCode>General</c:formatCode>
                <c:ptCount val="8"/>
                <c:pt idx="0">
                  <c:v>2</c:v>
                </c:pt>
                <c:pt idx="1">
                  <c:v>19</c:v>
                </c:pt>
                <c:pt idx="2">
                  <c:v>10</c:v>
                </c:pt>
                <c:pt idx="3">
                  <c:v>11</c:v>
                </c:pt>
                <c:pt idx="4">
                  <c:v>13</c:v>
                </c:pt>
                <c:pt idx="5">
                  <c:v>13</c:v>
                </c:pt>
                <c:pt idx="6">
                  <c:v>24</c:v>
                </c:pt>
                <c:pt idx="7">
                  <c:v>4</c:v>
                </c:pt>
              </c:numCache>
            </c:numRef>
          </c:val>
        </c:ser>
        <c:ser>
          <c:idx val="1"/>
          <c:order val="1"/>
          <c:tx>
            <c:strRef>
              <c:f>Lapa1!$C$1</c:f>
              <c:strCache>
                <c:ptCount val="1"/>
                <c:pt idx="0">
                  <c:v>2014./2015.m.g.-82, 1-nenokārtoja, vid.vērtēj. 31,1%</c:v>
                </c:pt>
              </c:strCache>
            </c:strRef>
          </c:tx>
          <c:cat>
            <c:strRef>
              <c:f>Lapa1!$A$2:$A$9</c:f>
              <c:strCache>
                <c:ptCount val="8"/>
                <c:pt idx="0">
                  <c:v>5-10%</c:v>
                </c:pt>
                <c:pt idx="1">
                  <c:v>11-20%</c:v>
                </c:pt>
                <c:pt idx="2">
                  <c:v>21-30%</c:v>
                </c:pt>
                <c:pt idx="3">
                  <c:v>31-40%</c:v>
                </c:pt>
                <c:pt idx="4">
                  <c:v>41-50%</c:v>
                </c:pt>
                <c:pt idx="5">
                  <c:v>51-...%</c:v>
                </c:pt>
                <c:pt idx="6">
                  <c:v> B1</c:v>
                </c:pt>
                <c:pt idx="7">
                  <c:v>B2</c:v>
                </c:pt>
              </c:strCache>
            </c:strRef>
          </c:cat>
          <c:val>
            <c:numRef>
              <c:f>Lapa1!$C$2:$C$9</c:f>
              <c:numCache>
                <c:formatCode>General</c:formatCode>
                <c:ptCount val="8"/>
                <c:pt idx="0">
                  <c:v>6</c:v>
                </c:pt>
                <c:pt idx="1">
                  <c:v>22</c:v>
                </c:pt>
                <c:pt idx="2">
                  <c:v>19</c:v>
                </c:pt>
                <c:pt idx="3">
                  <c:v>9</c:v>
                </c:pt>
                <c:pt idx="4">
                  <c:v>13</c:v>
                </c:pt>
                <c:pt idx="5">
                  <c:v>13</c:v>
                </c:pt>
                <c:pt idx="6">
                  <c:v>25</c:v>
                </c:pt>
                <c:pt idx="7">
                  <c:v>2</c:v>
                </c:pt>
              </c:numCache>
            </c:numRef>
          </c:val>
        </c:ser>
        <c:ser>
          <c:idx val="2"/>
          <c:order val="2"/>
          <c:tx>
            <c:strRef>
              <c:f>Lapa1!$D$1</c:f>
              <c:strCache>
                <c:ptCount val="1"/>
                <c:pt idx="0">
                  <c:v>2015./2016.m.g.-64, vid.vērt.42,84%</c:v>
                </c:pt>
              </c:strCache>
            </c:strRef>
          </c:tx>
          <c:cat>
            <c:strRef>
              <c:f>Lapa1!$A$2:$A$9</c:f>
              <c:strCache>
                <c:ptCount val="8"/>
                <c:pt idx="0">
                  <c:v>5-10%</c:v>
                </c:pt>
                <c:pt idx="1">
                  <c:v>11-20%</c:v>
                </c:pt>
                <c:pt idx="2">
                  <c:v>21-30%</c:v>
                </c:pt>
                <c:pt idx="3">
                  <c:v>31-40%</c:v>
                </c:pt>
                <c:pt idx="4">
                  <c:v>41-50%</c:v>
                </c:pt>
                <c:pt idx="5">
                  <c:v>51-...%</c:v>
                </c:pt>
                <c:pt idx="6">
                  <c:v> B1</c:v>
                </c:pt>
                <c:pt idx="7">
                  <c:v>B2</c:v>
                </c:pt>
              </c:strCache>
            </c:strRef>
          </c:cat>
          <c:val>
            <c:numRef>
              <c:f>Lapa1!$D$2:$D$9</c:f>
              <c:numCache>
                <c:formatCode>General</c:formatCode>
                <c:ptCount val="8"/>
                <c:pt idx="0">
                  <c:v>0</c:v>
                </c:pt>
                <c:pt idx="1">
                  <c:v>10</c:v>
                </c:pt>
                <c:pt idx="2">
                  <c:v>7</c:v>
                </c:pt>
                <c:pt idx="3">
                  <c:v>13</c:v>
                </c:pt>
                <c:pt idx="4">
                  <c:v>14</c:v>
                </c:pt>
                <c:pt idx="5">
                  <c:v>20</c:v>
                </c:pt>
                <c:pt idx="6">
                  <c:v>28</c:v>
                </c:pt>
                <c:pt idx="7">
                  <c:v>7</c:v>
                </c:pt>
              </c:numCache>
            </c:numRef>
          </c:val>
        </c:ser>
        <c:ser>
          <c:idx val="3"/>
          <c:order val="3"/>
          <c:tx>
            <c:strRef>
              <c:f>Lapa1!$E$1</c:f>
              <c:strCache>
                <c:ptCount val="1"/>
                <c:pt idx="0">
                  <c:v>2016./2017.m.g.-67, vid.vērt. 39,73%</c:v>
                </c:pt>
              </c:strCache>
            </c:strRef>
          </c:tx>
          <c:cat>
            <c:strRef>
              <c:f>Lapa1!$A$2:$A$9</c:f>
              <c:strCache>
                <c:ptCount val="8"/>
                <c:pt idx="0">
                  <c:v>5-10%</c:v>
                </c:pt>
                <c:pt idx="1">
                  <c:v>11-20%</c:v>
                </c:pt>
                <c:pt idx="2">
                  <c:v>21-30%</c:v>
                </c:pt>
                <c:pt idx="3">
                  <c:v>31-40%</c:v>
                </c:pt>
                <c:pt idx="4">
                  <c:v>41-50%</c:v>
                </c:pt>
                <c:pt idx="5">
                  <c:v>51-...%</c:v>
                </c:pt>
                <c:pt idx="6">
                  <c:v> B1</c:v>
                </c:pt>
                <c:pt idx="7">
                  <c:v>B2</c:v>
                </c:pt>
              </c:strCache>
            </c:strRef>
          </c:cat>
          <c:val>
            <c:numRef>
              <c:f>Lapa1!$E$2:$E$9</c:f>
              <c:numCache>
                <c:formatCode>General</c:formatCode>
                <c:ptCount val="8"/>
                <c:pt idx="0">
                  <c:v>1</c:v>
                </c:pt>
                <c:pt idx="1">
                  <c:v>8</c:v>
                </c:pt>
                <c:pt idx="2">
                  <c:v>16</c:v>
                </c:pt>
                <c:pt idx="3">
                  <c:v>11</c:v>
                </c:pt>
                <c:pt idx="4">
                  <c:v>15</c:v>
                </c:pt>
                <c:pt idx="5">
                  <c:v>16</c:v>
                </c:pt>
                <c:pt idx="6">
                  <c:v>25</c:v>
                </c:pt>
                <c:pt idx="7">
                  <c:v>9</c:v>
                </c:pt>
              </c:numCache>
            </c:numRef>
          </c:val>
        </c:ser>
        <c:axId val="74361472"/>
        <c:axId val="74367360"/>
      </c:barChart>
      <c:catAx>
        <c:axId val="74361472"/>
        <c:scaling>
          <c:orientation val="minMax"/>
        </c:scaling>
        <c:axPos val="b"/>
        <c:majorTickMark val="none"/>
        <c:tickLblPos val="nextTo"/>
        <c:crossAx val="74367360"/>
        <c:crosses val="autoZero"/>
        <c:auto val="1"/>
        <c:lblAlgn val="ctr"/>
        <c:lblOffset val="100"/>
      </c:catAx>
      <c:valAx>
        <c:axId val="74367360"/>
        <c:scaling>
          <c:orientation val="minMax"/>
        </c:scaling>
        <c:axPos val="l"/>
        <c:majorGridlines/>
        <c:numFmt formatCode="General" sourceLinked="1"/>
        <c:majorTickMark val="none"/>
        <c:tickLblPos val="nextTo"/>
        <c:crossAx val="74361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VISC centralizētais eksāmens latviešu valodā</a:t>
            </a:r>
          </a:p>
        </c:rich>
      </c:tx>
    </c:title>
    <c:plotArea>
      <c:layout>
        <c:manualLayout>
          <c:layoutTarget val="inner"/>
          <c:xMode val="edge"/>
          <c:yMode val="edge"/>
          <c:x val="6.7090205295428987E-2"/>
          <c:y val="0.20521392249837844"/>
          <c:w val="0.64859287735763405"/>
          <c:h val="0.60848093121875135"/>
        </c:manualLayout>
      </c:layout>
      <c:barChart>
        <c:barDir val="col"/>
        <c:grouping val="clustered"/>
        <c:ser>
          <c:idx val="0"/>
          <c:order val="0"/>
          <c:tx>
            <c:strRef>
              <c:f>Lapa1!$B$1</c:f>
              <c:strCache>
                <c:ptCount val="1"/>
                <c:pt idx="0">
                  <c:v>2013./2014.m.g.- 68 , vid.rezult.42,08%</c:v>
                </c:pt>
              </c:strCache>
            </c:strRef>
          </c:tx>
          <c:cat>
            <c:strRef>
              <c:f>Lapa1!$A$2:$A$8</c:f>
              <c:strCache>
                <c:ptCount val="6"/>
                <c:pt idx="0">
                  <c:v>5-10%</c:v>
                </c:pt>
                <c:pt idx="1">
                  <c:v>11-20%</c:v>
                </c:pt>
                <c:pt idx="2">
                  <c:v>21-30%</c:v>
                </c:pt>
                <c:pt idx="3">
                  <c:v>31-40%</c:v>
                </c:pt>
                <c:pt idx="4">
                  <c:v>41-50%</c:v>
                </c:pt>
                <c:pt idx="5">
                  <c:v>51-...%</c:v>
                </c:pt>
              </c:strCache>
            </c:strRef>
          </c:cat>
          <c:val>
            <c:numRef>
              <c:f>Lapa1!$B$2:$B$8</c:f>
              <c:numCache>
                <c:formatCode>General</c:formatCode>
                <c:ptCount val="7"/>
                <c:pt idx="0">
                  <c:v>1</c:v>
                </c:pt>
                <c:pt idx="1">
                  <c:v>2</c:v>
                </c:pt>
                <c:pt idx="2">
                  <c:v>13</c:v>
                </c:pt>
                <c:pt idx="3">
                  <c:v>15</c:v>
                </c:pt>
                <c:pt idx="4">
                  <c:v>22</c:v>
                </c:pt>
                <c:pt idx="5">
                  <c:v>15</c:v>
                </c:pt>
              </c:numCache>
            </c:numRef>
          </c:val>
        </c:ser>
        <c:ser>
          <c:idx val="1"/>
          <c:order val="1"/>
          <c:tx>
            <c:strRef>
              <c:f>Lapa1!$C$1</c:f>
              <c:strCache>
                <c:ptCount val="1"/>
                <c:pt idx="0">
                  <c:v>Sērija 2</c:v>
                </c:pt>
              </c:strCache>
            </c:strRef>
          </c:tx>
          <c:cat>
            <c:strRef>
              <c:f>Lapa1!$A$2:$A$8</c:f>
              <c:strCache>
                <c:ptCount val="6"/>
                <c:pt idx="0">
                  <c:v>5-10%</c:v>
                </c:pt>
                <c:pt idx="1">
                  <c:v>11-20%</c:v>
                </c:pt>
                <c:pt idx="2">
                  <c:v>21-30%</c:v>
                </c:pt>
                <c:pt idx="3">
                  <c:v>31-40%</c:v>
                </c:pt>
                <c:pt idx="4">
                  <c:v>41-50%</c:v>
                </c:pt>
                <c:pt idx="5">
                  <c:v>51-...%</c:v>
                </c:pt>
              </c:strCache>
            </c:strRef>
          </c:cat>
          <c:val>
            <c:numRef>
              <c:f>Lapa1!$C$2:$C$8</c:f>
            </c:numRef>
          </c:val>
        </c:ser>
        <c:ser>
          <c:idx val="2"/>
          <c:order val="2"/>
          <c:tx>
            <c:strRef>
              <c:f>Lapa1!$D$1</c:f>
              <c:strCache>
                <c:ptCount val="1"/>
                <c:pt idx="0">
                  <c:v>Sērija 3</c:v>
                </c:pt>
              </c:strCache>
            </c:strRef>
          </c:tx>
          <c:cat>
            <c:strRef>
              <c:f>Lapa1!$A$2:$A$8</c:f>
              <c:strCache>
                <c:ptCount val="6"/>
                <c:pt idx="0">
                  <c:v>5-10%</c:v>
                </c:pt>
                <c:pt idx="1">
                  <c:v>11-20%</c:v>
                </c:pt>
                <c:pt idx="2">
                  <c:v>21-30%</c:v>
                </c:pt>
                <c:pt idx="3">
                  <c:v>31-40%</c:v>
                </c:pt>
                <c:pt idx="4">
                  <c:v>41-50%</c:v>
                </c:pt>
                <c:pt idx="5">
                  <c:v>51-...%</c:v>
                </c:pt>
              </c:strCache>
            </c:strRef>
          </c:cat>
          <c:val>
            <c:numRef>
              <c:f>Lapa1!$D$2:$D$8</c:f>
            </c:numRef>
          </c:val>
        </c:ser>
        <c:ser>
          <c:idx val="3"/>
          <c:order val="3"/>
          <c:tx>
            <c:strRef>
              <c:f>Lapa1!$E$1</c:f>
              <c:strCache>
                <c:ptCount val="1"/>
                <c:pt idx="0">
                  <c:v>2014./2015.m.g.- 80, vid.rezult.39.55%</c:v>
                </c:pt>
              </c:strCache>
            </c:strRef>
          </c:tx>
          <c:cat>
            <c:strRef>
              <c:f>Lapa1!$A$2:$A$8</c:f>
              <c:strCache>
                <c:ptCount val="6"/>
                <c:pt idx="0">
                  <c:v>5-10%</c:v>
                </c:pt>
                <c:pt idx="1">
                  <c:v>11-20%</c:v>
                </c:pt>
                <c:pt idx="2">
                  <c:v>21-30%</c:v>
                </c:pt>
                <c:pt idx="3">
                  <c:v>31-40%</c:v>
                </c:pt>
                <c:pt idx="4">
                  <c:v>41-50%</c:v>
                </c:pt>
                <c:pt idx="5">
                  <c:v>51-...%</c:v>
                </c:pt>
              </c:strCache>
            </c:strRef>
          </c:cat>
          <c:val>
            <c:numRef>
              <c:f>Lapa1!$E$2:$E$8</c:f>
              <c:numCache>
                <c:formatCode>General</c:formatCode>
                <c:ptCount val="7"/>
                <c:pt idx="0">
                  <c:v>1</c:v>
                </c:pt>
                <c:pt idx="1">
                  <c:v>2</c:v>
                </c:pt>
                <c:pt idx="2">
                  <c:v>17</c:v>
                </c:pt>
                <c:pt idx="3">
                  <c:v>28</c:v>
                </c:pt>
                <c:pt idx="4">
                  <c:v>14</c:v>
                </c:pt>
                <c:pt idx="5">
                  <c:v>18</c:v>
                </c:pt>
              </c:numCache>
            </c:numRef>
          </c:val>
        </c:ser>
        <c:ser>
          <c:idx val="4"/>
          <c:order val="4"/>
          <c:tx>
            <c:strRef>
              <c:f>Lapa1!$F$1</c:f>
              <c:strCache>
                <c:ptCount val="1"/>
                <c:pt idx="0">
                  <c:v>2015./2016.m.g.- 62, vid.rezult.49,59%</c:v>
                </c:pt>
              </c:strCache>
            </c:strRef>
          </c:tx>
          <c:cat>
            <c:strRef>
              <c:f>Lapa1!$A$2:$A$8</c:f>
              <c:strCache>
                <c:ptCount val="6"/>
                <c:pt idx="0">
                  <c:v>5-10%</c:v>
                </c:pt>
                <c:pt idx="1">
                  <c:v>11-20%</c:v>
                </c:pt>
                <c:pt idx="2">
                  <c:v>21-30%</c:v>
                </c:pt>
                <c:pt idx="3">
                  <c:v>31-40%</c:v>
                </c:pt>
                <c:pt idx="4">
                  <c:v>41-50%</c:v>
                </c:pt>
                <c:pt idx="5">
                  <c:v>51-...%</c:v>
                </c:pt>
              </c:strCache>
            </c:strRef>
          </c:cat>
          <c:val>
            <c:numRef>
              <c:f>Lapa1!$F$2:$F$8</c:f>
              <c:numCache>
                <c:formatCode>General</c:formatCode>
                <c:ptCount val="7"/>
                <c:pt idx="0">
                  <c:v>0</c:v>
                </c:pt>
                <c:pt idx="1">
                  <c:v>0</c:v>
                </c:pt>
                <c:pt idx="2">
                  <c:v>6</c:v>
                </c:pt>
                <c:pt idx="3">
                  <c:v>13</c:v>
                </c:pt>
                <c:pt idx="4">
                  <c:v>16</c:v>
                </c:pt>
                <c:pt idx="5">
                  <c:v>27</c:v>
                </c:pt>
              </c:numCache>
            </c:numRef>
          </c:val>
        </c:ser>
        <c:ser>
          <c:idx val="5"/>
          <c:order val="5"/>
          <c:tx>
            <c:strRef>
              <c:f>Lapa1!$G$1</c:f>
              <c:strCache>
                <c:ptCount val="1"/>
                <c:pt idx="0">
                  <c:v>2016./2017.m.g.-64, vid.rezult.-40,9%</c:v>
                </c:pt>
              </c:strCache>
            </c:strRef>
          </c:tx>
          <c:cat>
            <c:strRef>
              <c:f>Lapa1!$A$2:$A$8</c:f>
              <c:strCache>
                <c:ptCount val="6"/>
                <c:pt idx="0">
                  <c:v>5-10%</c:v>
                </c:pt>
                <c:pt idx="1">
                  <c:v>11-20%</c:v>
                </c:pt>
                <c:pt idx="2">
                  <c:v>21-30%</c:v>
                </c:pt>
                <c:pt idx="3">
                  <c:v>31-40%</c:v>
                </c:pt>
                <c:pt idx="4">
                  <c:v>41-50%</c:v>
                </c:pt>
                <c:pt idx="5">
                  <c:v>51-...%</c:v>
                </c:pt>
              </c:strCache>
            </c:strRef>
          </c:cat>
          <c:val>
            <c:numRef>
              <c:f>Lapa1!$G$2:$G$8</c:f>
              <c:numCache>
                <c:formatCode>General</c:formatCode>
                <c:ptCount val="7"/>
                <c:pt idx="0">
                  <c:v>0</c:v>
                </c:pt>
                <c:pt idx="1">
                  <c:v>2</c:v>
                </c:pt>
                <c:pt idx="2">
                  <c:v>13</c:v>
                </c:pt>
                <c:pt idx="3">
                  <c:v>25</c:v>
                </c:pt>
                <c:pt idx="4">
                  <c:v>10</c:v>
                </c:pt>
                <c:pt idx="5">
                  <c:v>14</c:v>
                </c:pt>
              </c:numCache>
            </c:numRef>
          </c:val>
        </c:ser>
        <c:axId val="76837632"/>
        <c:axId val="76839168"/>
      </c:barChart>
      <c:catAx>
        <c:axId val="76837632"/>
        <c:scaling>
          <c:orientation val="minMax"/>
        </c:scaling>
        <c:axPos val="b"/>
        <c:tickLblPos val="nextTo"/>
        <c:crossAx val="76839168"/>
        <c:crosses val="autoZero"/>
        <c:auto val="1"/>
        <c:lblAlgn val="ctr"/>
        <c:lblOffset val="100"/>
      </c:catAx>
      <c:valAx>
        <c:axId val="76839168"/>
        <c:scaling>
          <c:orientation val="minMax"/>
        </c:scaling>
        <c:axPos val="l"/>
        <c:majorGridlines/>
        <c:numFmt formatCode="General" sourceLinked="1"/>
        <c:tickLblPos val="nextTo"/>
        <c:crossAx val="76837632"/>
        <c:crosses val="autoZero"/>
        <c:crossBetween val="between"/>
      </c:valAx>
    </c:plotArea>
    <c:legend>
      <c:legendPos val="r"/>
      <c:layout>
        <c:manualLayout>
          <c:xMode val="edge"/>
          <c:yMode val="edge"/>
          <c:x val="0.72825900326086512"/>
          <c:y val="0.34404610024476134"/>
          <c:w val="0.27174107173355683"/>
          <c:h val="0.59803149099278929"/>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VISC centralizētais</a:t>
            </a:r>
            <a:r>
              <a:rPr lang="lv-LV" baseline="0"/>
              <a:t> eksāmens Latvijas un pasaules vēsturē</a:t>
            </a:r>
            <a:endParaRPr lang="lv-LV"/>
          </a:p>
        </c:rich>
      </c:tx>
    </c:title>
    <c:plotArea>
      <c:layout/>
      <c:barChart>
        <c:barDir val="col"/>
        <c:grouping val="clustered"/>
        <c:ser>
          <c:idx val="0"/>
          <c:order val="0"/>
          <c:tx>
            <c:strRef>
              <c:f>Lapa1!$B$1</c:f>
              <c:strCache>
                <c:ptCount val="1"/>
                <c:pt idx="0">
                  <c:v>2013./2014.m.g.-91, vid.rezult. 30,5%</c:v>
                </c:pt>
              </c:strCache>
            </c:strRef>
          </c:tx>
          <c:cat>
            <c:strRef>
              <c:f>Lapa1!$A$2:$A$8</c:f>
              <c:strCache>
                <c:ptCount val="7"/>
                <c:pt idx="0">
                  <c:v>5-10%</c:v>
                </c:pt>
                <c:pt idx="1">
                  <c:v>11-20%</c:v>
                </c:pt>
                <c:pt idx="2">
                  <c:v>21-30%</c:v>
                </c:pt>
                <c:pt idx="3">
                  <c:v>31-39%</c:v>
                </c:pt>
                <c:pt idx="4">
                  <c:v>40-49%</c:v>
                </c:pt>
                <c:pt idx="5">
                  <c:v>50-59%</c:v>
                </c:pt>
                <c:pt idx="6">
                  <c:v>60%...</c:v>
                </c:pt>
              </c:strCache>
            </c:strRef>
          </c:cat>
          <c:val>
            <c:numRef>
              <c:f>Lapa1!$B$2:$B$8</c:f>
              <c:numCache>
                <c:formatCode>General</c:formatCode>
                <c:ptCount val="7"/>
                <c:pt idx="0">
                  <c:v>0</c:v>
                </c:pt>
                <c:pt idx="1">
                  <c:v>2</c:v>
                </c:pt>
                <c:pt idx="2">
                  <c:v>28</c:v>
                </c:pt>
                <c:pt idx="3">
                  <c:v>36</c:v>
                </c:pt>
                <c:pt idx="4">
                  <c:v>19</c:v>
                </c:pt>
                <c:pt idx="5">
                  <c:v>6</c:v>
                </c:pt>
                <c:pt idx="6">
                  <c:v>0</c:v>
                </c:pt>
              </c:numCache>
            </c:numRef>
          </c:val>
        </c:ser>
        <c:ser>
          <c:idx val="1"/>
          <c:order val="1"/>
          <c:tx>
            <c:strRef>
              <c:f>Lapa1!$C$1</c:f>
              <c:strCache>
                <c:ptCount val="1"/>
                <c:pt idx="0">
                  <c:v>2014./2015.m.g.-63, vid.rezult.32,4%</c:v>
                </c:pt>
              </c:strCache>
            </c:strRef>
          </c:tx>
          <c:cat>
            <c:strRef>
              <c:f>Lapa1!$A$2:$A$8</c:f>
              <c:strCache>
                <c:ptCount val="7"/>
                <c:pt idx="0">
                  <c:v>5-10%</c:v>
                </c:pt>
                <c:pt idx="1">
                  <c:v>11-20%</c:v>
                </c:pt>
                <c:pt idx="2">
                  <c:v>21-30%</c:v>
                </c:pt>
                <c:pt idx="3">
                  <c:v>31-39%</c:v>
                </c:pt>
                <c:pt idx="4">
                  <c:v>40-49%</c:v>
                </c:pt>
                <c:pt idx="5">
                  <c:v>50-59%</c:v>
                </c:pt>
                <c:pt idx="6">
                  <c:v>60%...</c:v>
                </c:pt>
              </c:strCache>
            </c:strRef>
          </c:cat>
          <c:val>
            <c:numRef>
              <c:f>Lapa1!$C$2:$C$8</c:f>
              <c:numCache>
                <c:formatCode>General</c:formatCode>
                <c:ptCount val="7"/>
                <c:pt idx="0">
                  <c:v>0</c:v>
                </c:pt>
                <c:pt idx="1">
                  <c:v>2</c:v>
                </c:pt>
                <c:pt idx="2">
                  <c:v>8</c:v>
                </c:pt>
                <c:pt idx="3">
                  <c:v>11</c:v>
                </c:pt>
                <c:pt idx="4">
                  <c:v>16</c:v>
                </c:pt>
                <c:pt idx="5">
                  <c:v>18</c:v>
                </c:pt>
                <c:pt idx="6">
                  <c:v>8</c:v>
                </c:pt>
              </c:numCache>
            </c:numRef>
          </c:val>
        </c:ser>
        <c:ser>
          <c:idx val="2"/>
          <c:order val="2"/>
          <c:tx>
            <c:strRef>
              <c:f>Lapa1!$D$1</c:f>
              <c:strCache>
                <c:ptCount val="1"/>
                <c:pt idx="0">
                  <c:v>2015./2016.m.g.-96, vid.rezult.27,45%</c:v>
                </c:pt>
              </c:strCache>
            </c:strRef>
          </c:tx>
          <c:cat>
            <c:strRef>
              <c:f>Lapa1!$A$2:$A$8</c:f>
              <c:strCache>
                <c:ptCount val="7"/>
                <c:pt idx="0">
                  <c:v>5-10%</c:v>
                </c:pt>
                <c:pt idx="1">
                  <c:v>11-20%</c:v>
                </c:pt>
                <c:pt idx="2">
                  <c:v>21-30%</c:v>
                </c:pt>
                <c:pt idx="3">
                  <c:v>31-39%</c:v>
                </c:pt>
                <c:pt idx="4">
                  <c:v>40-49%</c:v>
                </c:pt>
                <c:pt idx="5">
                  <c:v>50-59%</c:v>
                </c:pt>
                <c:pt idx="6">
                  <c:v>60%...</c:v>
                </c:pt>
              </c:strCache>
            </c:strRef>
          </c:cat>
          <c:val>
            <c:numRef>
              <c:f>Lapa1!$D$2:$D$8</c:f>
              <c:numCache>
                <c:formatCode>General</c:formatCode>
                <c:ptCount val="7"/>
                <c:pt idx="0">
                  <c:v>0</c:v>
                </c:pt>
                <c:pt idx="1">
                  <c:v>19</c:v>
                </c:pt>
                <c:pt idx="2">
                  <c:v>33</c:v>
                </c:pt>
                <c:pt idx="3">
                  <c:v>33</c:v>
                </c:pt>
                <c:pt idx="4">
                  <c:v>5</c:v>
                </c:pt>
                <c:pt idx="5">
                  <c:v>5</c:v>
                </c:pt>
                <c:pt idx="6">
                  <c:v>1</c:v>
                </c:pt>
              </c:numCache>
            </c:numRef>
          </c:val>
        </c:ser>
        <c:ser>
          <c:idx val="3"/>
          <c:order val="3"/>
          <c:tx>
            <c:strRef>
              <c:f>Lapa1!$E$1</c:f>
              <c:strCache>
                <c:ptCount val="1"/>
                <c:pt idx="0">
                  <c:v>2016./2017.m.g.-49, vid.rezult.- 36,83%</c:v>
                </c:pt>
              </c:strCache>
            </c:strRef>
          </c:tx>
          <c:cat>
            <c:strRef>
              <c:f>Lapa1!$A$2:$A$8</c:f>
              <c:strCache>
                <c:ptCount val="7"/>
                <c:pt idx="0">
                  <c:v>5-10%</c:v>
                </c:pt>
                <c:pt idx="1">
                  <c:v>11-20%</c:v>
                </c:pt>
                <c:pt idx="2">
                  <c:v>21-30%</c:v>
                </c:pt>
                <c:pt idx="3">
                  <c:v>31-39%</c:v>
                </c:pt>
                <c:pt idx="4">
                  <c:v>40-49%</c:v>
                </c:pt>
                <c:pt idx="5">
                  <c:v>50-59%</c:v>
                </c:pt>
                <c:pt idx="6">
                  <c:v>60%...</c:v>
                </c:pt>
              </c:strCache>
            </c:strRef>
          </c:cat>
          <c:val>
            <c:numRef>
              <c:f>Lapa1!$E$2:$E$8</c:f>
              <c:numCache>
                <c:formatCode>General</c:formatCode>
                <c:ptCount val="7"/>
                <c:pt idx="0">
                  <c:v>0</c:v>
                </c:pt>
                <c:pt idx="1">
                  <c:v>5</c:v>
                </c:pt>
                <c:pt idx="2">
                  <c:v>9</c:v>
                </c:pt>
                <c:pt idx="3">
                  <c:v>19</c:v>
                </c:pt>
                <c:pt idx="4">
                  <c:v>8</c:v>
                </c:pt>
                <c:pt idx="5">
                  <c:v>5</c:v>
                </c:pt>
                <c:pt idx="6">
                  <c:v>3</c:v>
                </c:pt>
              </c:numCache>
            </c:numRef>
          </c:val>
        </c:ser>
        <c:axId val="80290560"/>
        <c:axId val="80292096"/>
      </c:barChart>
      <c:catAx>
        <c:axId val="80290560"/>
        <c:scaling>
          <c:orientation val="minMax"/>
        </c:scaling>
        <c:axPos val="b"/>
        <c:tickLblPos val="nextTo"/>
        <c:crossAx val="80292096"/>
        <c:crosses val="autoZero"/>
        <c:auto val="1"/>
        <c:lblAlgn val="ctr"/>
        <c:lblOffset val="100"/>
      </c:catAx>
      <c:valAx>
        <c:axId val="80292096"/>
        <c:scaling>
          <c:orientation val="minMax"/>
        </c:scaling>
        <c:axPos val="l"/>
        <c:majorGridlines/>
        <c:numFmt formatCode="General" sourceLinked="1"/>
        <c:tickLblPos val="nextTo"/>
        <c:crossAx val="80290560"/>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VISC centralizētais eksāmens fizikā</a:t>
            </a:r>
          </a:p>
        </c:rich>
      </c:tx>
    </c:title>
    <c:plotArea>
      <c:layout/>
      <c:barChart>
        <c:barDir val="col"/>
        <c:grouping val="clustered"/>
        <c:ser>
          <c:idx val="0"/>
          <c:order val="0"/>
          <c:tx>
            <c:strRef>
              <c:f>Lapa1!$B$1</c:f>
              <c:strCache>
                <c:ptCount val="1"/>
                <c:pt idx="0">
                  <c:v>2013./2014.m.g.-15</c:v>
                </c:pt>
              </c:strCache>
            </c:strRef>
          </c:tx>
          <c:cat>
            <c:strRef>
              <c:f>Lapa1!$A$2:$A$5</c:f>
              <c:strCache>
                <c:ptCount val="4"/>
                <c:pt idx="0">
                  <c:v>11-20%</c:v>
                </c:pt>
                <c:pt idx="1">
                  <c:v>21-30%</c:v>
                </c:pt>
                <c:pt idx="2">
                  <c:v>31-39%</c:v>
                </c:pt>
                <c:pt idx="3">
                  <c:v>58%</c:v>
                </c:pt>
              </c:strCache>
            </c:strRef>
          </c:cat>
          <c:val>
            <c:numRef>
              <c:f>Lapa1!$B$2:$B$5</c:f>
              <c:numCache>
                <c:formatCode>General</c:formatCode>
                <c:ptCount val="4"/>
                <c:pt idx="0">
                  <c:v>9</c:v>
                </c:pt>
                <c:pt idx="1">
                  <c:v>6</c:v>
                </c:pt>
                <c:pt idx="2">
                  <c:v>0</c:v>
                </c:pt>
                <c:pt idx="3">
                  <c:v>0</c:v>
                </c:pt>
              </c:numCache>
            </c:numRef>
          </c:val>
        </c:ser>
        <c:ser>
          <c:idx val="1"/>
          <c:order val="1"/>
          <c:tx>
            <c:strRef>
              <c:f>Lapa1!$C$1</c:f>
              <c:strCache>
                <c:ptCount val="1"/>
                <c:pt idx="0">
                  <c:v>2014./2015.m.g.-6</c:v>
                </c:pt>
              </c:strCache>
            </c:strRef>
          </c:tx>
          <c:cat>
            <c:strRef>
              <c:f>Lapa1!$A$2:$A$5</c:f>
              <c:strCache>
                <c:ptCount val="4"/>
                <c:pt idx="0">
                  <c:v>11-20%</c:v>
                </c:pt>
                <c:pt idx="1">
                  <c:v>21-30%</c:v>
                </c:pt>
                <c:pt idx="2">
                  <c:v>31-39%</c:v>
                </c:pt>
                <c:pt idx="3">
                  <c:v>58%</c:v>
                </c:pt>
              </c:strCache>
            </c:strRef>
          </c:cat>
          <c:val>
            <c:numRef>
              <c:f>Lapa1!$C$2:$C$5</c:f>
              <c:numCache>
                <c:formatCode>General</c:formatCode>
                <c:ptCount val="4"/>
                <c:pt idx="0">
                  <c:v>1</c:v>
                </c:pt>
                <c:pt idx="1">
                  <c:v>3</c:v>
                </c:pt>
                <c:pt idx="2">
                  <c:v>2</c:v>
                </c:pt>
                <c:pt idx="3">
                  <c:v>0</c:v>
                </c:pt>
              </c:numCache>
            </c:numRef>
          </c:val>
        </c:ser>
        <c:ser>
          <c:idx val="2"/>
          <c:order val="2"/>
          <c:tx>
            <c:strRef>
              <c:f>Lapa1!$D$1</c:f>
              <c:strCache>
                <c:ptCount val="1"/>
                <c:pt idx="0">
                  <c:v>2015./2016.m.g.-13</c:v>
                </c:pt>
              </c:strCache>
            </c:strRef>
          </c:tx>
          <c:cat>
            <c:strRef>
              <c:f>Lapa1!$A$2:$A$5</c:f>
              <c:strCache>
                <c:ptCount val="4"/>
                <c:pt idx="0">
                  <c:v>11-20%</c:v>
                </c:pt>
                <c:pt idx="1">
                  <c:v>21-30%</c:v>
                </c:pt>
                <c:pt idx="2">
                  <c:v>31-39%</c:v>
                </c:pt>
                <c:pt idx="3">
                  <c:v>58%</c:v>
                </c:pt>
              </c:strCache>
            </c:strRef>
          </c:cat>
          <c:val>
            <c:numRef>
              <c:f>Lapa1!$D$2:$D$5</c:f>
              <c:numCache>
                <c:formatCode>General</c:formatCode>
                <c:ptCount val="4"/>
                <c:pt idx="0">
                  <c:v>1</c:v>
                </c:pt>
                <c:pt idx="1">
                  <c:v>10</c:v>
                </c:pt>
                <c:pt idx="2">
                  <c:v>1</c:v>
                </c:pt>
                <c:pt idx="3">
                  <c:v>1</c:v>
                </c:pt>
              </c:numCache>
            </c:numRef>
          </c:val>
        </c:ser>
        <c:ser>
          <c:idx val="3"/>
          <c:order val="3"/>
          <c:tx>
            <c:strRef>
              <c:f>Lapa1!$E$1</c:f>
              <c:strCache>
                <c:ptCount val="1"/>
                <c:pt idx="0">
                  <c:v>2016./2017.m.g.-7</c:v>
                </c:pt>
              </c:strCache>
            </c:strRef>
          </c:tx>
          <c:cat>
            <c:strRef>
              <c:f>Lapa1!$A$2:$A$5</c:f>
              <c:strCache>
                <c:ptCount val="4"/>
                <c:pt idx="0">
                  <c:v>11-20%</c:v>
                </c:pt>
                <c:pt idx="1">
                  <c:v>21-30%</c:v>
                </c:pt>
                <c:pt idx="2">
                  <c:v>31-39%</c:v>
                </c:pt>
                <c:pt idx="3">
                  <c:v>58%</c:v>
                </c:pt>
              </c:strCache>
            </c:strRef>
          </c:cat>
          <c:val>
            <c:numRef>
              <c:f>Lapa1!$E$2:$E$5</c:f>
              <c:numCache>
                <c:formatCode>General</c:formatCode>
                <c:ptCount val="4"/>
                <c:pt idx="0">
                  <c:v>5</c:v>
                </c:pt>
                <c:pt idx="1">
                  <c:v>2</c:v>
                </c:pt>
                <c:pt idx="2">
                  <c:v>0</c:v>
                </c:pt>
                <c:pt idx="3">
                  <c:v>0</c:v>
                </c:pt>
              </c:numCache>
            </c:numRef>
          </c:val>
        </c:ser>
        <c:axId val="55361536"/>
        <c:axId val="55363072"/>
      </c:barChart>
      <c:catAx>
        <c:axId val="55361536"/>
        <c:scaling>
          <c:orientation val="minMax"/>
        </c:scaling>
        <c:axPos val="b"/>
        <c:tickLblPos val="nextTo"/>
        <c:crossAx val="55363072"/>
        <c:crosses val="autoZero"/>
        <c:auto val="1"/>
        <c:lblAlgn val="ctr"/>
        <c:lblOffset val="100"/>
      </c:catAx>
      <c:valAx>
        <c:axId val="55363072"/>
        <c:scaling>
          <c:orientation val="minMax"/>
        </c:scaling>
        <c:axPos val="l"/>
        <c:majorGridlines/>
        <c:numFmt formatCode="General" sourceLinked="1"/>
        <c:tickLblPos val="nextTo"/>
        <c:crossAx val="55361536"/>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VISC centralizētais eksāmens matemātikā</a:t>
            </a:r>
          </a:p>
        </c:rich>
      </c:tx>
    </c:title>
    <c:plotArea>
      <c:layout/>
      <c:barChart>
        <c:barDir val="col"/>
        <c:grouping val="clustered"/>
        <c:ser>
          <c:idx val="0"/>
          <c:order val="0"/>
          <c:tx>
            <c:strRef>
              <c:f>Lapa1!$B$1</c:f>
              <c:strCache>
                <c:ptCount val="1"/>
                <c:pt idx="0">
                  <c:v>2013./2014.m.g.-63, 1-nenokārtoja, vid.rezult.21,4%</c:v>
                </c:pt>
              </c:strCache>
            </c:strRef>
          </c:tx>
          <c:cat>
            <c:strRef>
              <c:f>Lapa1!$A$2:$A$7</c:f>
              <c:strCache>
                <c:ptCount val="6"/>
                <c:pt idx="0">
                  <c:v>5-10%</c:v>
                </c:pt>
                <c:pt idx="1">
                  <c:v>11-20%</c:v>
                </c:pt>
                <c:pt idx="2">
                  <c:v>21-30%</c:v>
                </c:pt>
                <c:pt idx="3">
                  <c:v>31-40%</c:v>
                </c:pt>
                <c:pt idx="4">
                  <c:v>41-50%</c:v>
                </c:pt>
                <c:pt idx="5">
                  <c:v>51%...</c:v>
                </c:pt>
              </c:strCache>
            </c:strRef>
          </c:cat>
          <c:val>
            <c:numRef>
              <c:f>Lapa1!$B$2:$B$7</c:f>
              <c:numCache>
                <c:formatCode>General</c:formatCode>
                <c:ptCount val="6"/>
                <c:pt idx="0">
                  <c:v>16</c:v>
                </c:pt>
                <c:pt idx="1">
                  <c:v>16</c:v>
                </c:pt>
                <c:pt idx="2">
                  <c:v>19</c:v>
                </c:pt>
                <c:pt idx="3">
                  <c:v>6</c:v>
                </c:pt>
                <c:pt idx="4">
                  <c:v>4</c:v>
                </c:pt>
                <c:pt idx="5">
                  <c:v>1</c:v>
                </c:pt>
              </c:numCache>
            </c:numRef>
          </c:val>
        </c:ser>
        <c:ser>
          <c:idx val="1"/>
          <c:order val="1"/>
          <c:tx>
            <c:strRef>
              <c:f>Lapa1!$C$1</c:f>
              <c:strCache>
                <c:ptCount val="1"/>
                <c:pt idx="0">
                  <c:v>Sērija 2</c:v>
                </c:pt>
              </c:strCache>
            </c:strRef>
          </c:tx>
          <c:cat>
            <c:strRef>
              <c:f>Lapa1!$A$2:$A$7</c:f>
              <c:strCache>
                <c:ptCount val="6"/>
                <c:pt idx="0">
                  <c:v>5-10%</c:v>
                </c:pt>
                <c:pt idx="1">
                  <c:v>11-20%</c:v>
                </c:pt>
                <c:pt idx="2">
                  <c:v>21-30%</c:v>
                </c:pt>
                <c:pt idx="3">
                  <c:v>31-40%</c:v>
                </c:pt>
                <c:pt idx="4">
                  <c:v>41-50%</c:v>
                </c:pt>
                <c:pt idx="5">
                  <c:v>51%...</c:v>
                </c:pt>
              </c:strCache>
            </c:strRef>
          </c:cat>
          <c:val>
            <c:numRef>
              <c:f>Lapa1!$C$2:$C$7</c:f>
            </c:numRef>
          </c:val>
        </c:ser>
        <c:ser>
          <c:idx val="2"/>
          <c:order val="2"/>
          <c:tx>
            <c:strRef>
              <c:f>Lapa1!$D$1</c:f>
              <c:strCache>
                <c:ptCount val="1"/>
                <c:pt idx="0">
                  <c:v>Sērija 3</c:v>
                </c:pt>
              </c:strCache>
            </c:strRef>
          </c:tx>
          <c:cat>
            <c:strRef>
              <c:f>Lapa1!$A$2:$A$7</c:f>
              <c:strCache>
                <c:ptCount val="6"/>
                <c:pt idx="0">
                  <c:v>5-10%</c:v>
                </c:pt>
                <c:pt idx="1">
                  <c:v>11-20%</c:v>
                </c:pt>
                <c:pt idx="2">
                  <c:v>21-30%</c:v>
                </c:pt>
                <c:pt idx="3">
                  <c:v>31-40%</c:v>
                </c:pt>
                <c:pt idx="4">
                  <c:v>41-50%</c:v>
                </c:pt>
                <c:pt idx="5">
                  <c:v>51%...</c:v>
                </c:pt>
              </c:strCache>
            </c:strRef>
          </c:cat>
          <c:val>
            <c:numRef>
              <c:f>Lapa1!$D$2:$D$7</c:f>
            </c:numRef>
          </c:val>
        </c:ser>
        <c:ser>
          <c:idx val="3"/>
          <c:order val="3"/>
          <c:tx>
            <c:strRef>
              <c:f>Lapa1!$E$1</c:f>
              <c:strCache>
                <c:ptCount val="1"/>
                <c:pt idx="0">
                  <c:v>2014./2015.m.g.-84, 2-nenokārtoja, vid.rezult. 21,3%</c:v>
                </c:pt>
              </c:strCache>
            </c:strRef>
          </c:tx>
          <c:cat>
            <c:strRef>
              <c:f>Lapa1!$A$2:$A$7</c:f>
              <c:strCache>
                <c:ptCount val="6"/>
                <c:pt idx="0">
                  <c:v>5-10%</c:v>
                </c:pt>
                <c:pt idx="1">
                  <c:v>11-20%</c:v>
                </c:pt>
                <c:pt idx="2">
                  <c:v>21-30%</c:v>
                </c:pt>
                <c:pt idx="3">
                  <c:v>31-40%</c:v>
                </c:pt>
                <c:pt idx="4">
                  <c:v>41-50%</c:v>
                </c:pt>
                <c:pt idx="5">
                  <c:v>51%...</c:v>
                </c:pt>
              </c:strCache>
            </c:strRef>
          </c:cat>
          <c:val>
            <c:numRef>
              <c:f>Lapa1!$E$2:$E$7</c:f>
              <c:numCache>
                <c:formatCode>General</c:formatCode>
                <c:ptCount val="6"/>
                <c:pt idx="0">
                  <c:v>13</c:v>
                </c:pt>
                <c:pt idx="1">
                  <c:v>23</c:v>
                </c:pt>
                <c:pt idx="2">
                  <c:v>12</c:v>
                </c:pt>
                <c:pt idx="3">
                  <c:v>13</c:v>
                </c:pt>
                <c:pt idx="4">
                  <c:v>1</c:v>
                </c:pt>
              </c:numCache>
            </c:numRef>
          </c:val>
        </c:ser>
        <c:ser>
          <c:idx val="4"/>
          <c:order val="4"/>
          <c:tx>
            <c:strRef>
              <c:f>Lapa1!$F$1</c:f>
              <c:strCache>
                <c:ptCount val="1"/>
                <c:pt idx="0">
                  <c:v>2015./2016.m.g.-66, nenokārtoja 5, vid rezult. 15,15%</c:v>
                </c:pt>
              </c:strCache>
            </c:strRef>
          </c:tx>
          <c:cat>
            <c:strRef>
              <c:f>Lapa1!$A$2:$A$7</c:f>
              <c:strCache>
                <c:ptCount val="6"/>
                <c:pt idx="0">
                  <c:v>5-10%</c:v>
                </c:pt>
                <c:pt idx="1">
                  <c:v>11-20%</c:v>
                </c:pt>
                <c:pt idx="2">
                  <c:v>21-30%</c:v>
                </c:pt>
                <c:pt idx="3">
                  <c:v>31-40%</c:v>
                </c:pt>
                <c:pt idx="4">
                  <c:v>41-50%</c:v>
                </c:pt>
                <c:pt idx="5">
                  <c:v>51%...</c:v>
                </c:pt>
              </c:strCache>
            </c:strRef>
          </c:cat>
          <c:val>
            <c:numRef>
              <c:f>Lapa1!$F$2:$F$7</c:f>
              <c:numCache>
                <c:formatCode>General</c:formatCode>
                <c:ptCount val="6"/>
                <c:pt idx="0">
                  <c:v>20</c:v>
                </c:pt>
                <c:pt idx="1">
                  <c:v>27</c:v>
                </c:pt>
                <c:pt idx="2">
                  <c:v>9</c:v>
                </c:pt>
                <c:pt idx="3">
                  <c:v>5</c:v>
                </c:pt>
                <c:pt idx="4">
                  <c:v>0</c:v>
                </c:pt>
                <c:pt idx="5">
                  <c:v>0</c:v>
                </c:pt>
              </c:numCache>
            </c:numRef>
          </c:val>
        </c:ser>
        <c:ser>
          <c:idx val="5"/>
          <c:order val="5"/>
          <c:tx>
            <c:strRef>
              <c:f>Lapa1!$G$1</c:f>
              <c:strCache>
                <c:ptCount val="1"/>
                <c:pt idx="0">
                  <c:v>2016./2017.m.g.-66, 2 -nenokārtoja, vid.rezult.-14,77%</c:v>
                </c:pt>
              </c:strCache>
            </c:strRef>
          </c:tx>
          <c:cat>
            <c:strRef>
              <c:f>Lapa1!$A$2:$A$7</c:f>
              <c:strCache>
                <c:ptCount val="6"/>
                <c:pt idx="0">
                  <c:v>5-10%</c:v>
                </c:pt>
                <c:pt idx="1">
                  <c:v>11-20%</c:v>
                </c:pt>
                <c:pt idx="2">
                  <c:v>21-30%</c:v>
                </c:pt>
                <c:pt idx="3">
                  <c:v>31-40%</c:v>
                </c:pt>
                <c:pt idx="4">
                  <c:v>41-50%</c:v>
                </c:pt>
                <c:pt idx="5">
                  <c:v>51%...</c:v>
                </c:pt>
              </c:strCache>
            </c:strRef>
          </c:cat>
          <c:val>
            <c:numRef>
              <c:f>Lapa1!$G$2:$G$7</c:f>
              <c:numCache>
                <c:formatCode>General</c:formatCode>
                <c:ptCount val="6"/>
                <c:pt idx="0">
                  <c:v>36</c:v>
                </c:pt>
                <c:pt idx="1">
                  <c:v>20</c:v>
                </c:pt>
                <c:pt idx="2">
                  <c:v>6</c:v>
                </c:pt>
                <c:pt idx="3">
                  <c:v>2</c:v>
                </c:pt>
                <c:pt idx="4">
                  <c:v>1</c:v>
                </c:pt>
                <c:pt idx="5">
                  <c:v>1</c:v>
                </c:pt>
              </c:numCache>
            </c:numRef>
          </c:val>
        </c:ser>
        <c:axId val="55796864"/>
        <c:axId val="55798400"/>
      </c:barChart>
      <c:catAx>
        <c:axId val="55796864"/>
        <c:scaling>
          <c:orientation val="minMax"/>
        </c:scaling>
        <c:axPos val="b"/>
        <c:tickLblPos val="nextTo"/>
        <c:crossAx val="55798400"/>
        <c:crosses val="autoZero"/>
        <c:auto val="1"/>
        <c:lblAlgn val="ctr"/>
        <c:lblOffset val="100"/>
      </c:catAx>
      <c:valAx>
        <c:axId val="55798400"/>
        <c:scaling>
          <c:orientation val="minMax"/>
        </c:scaling>
        <c:axPos val="l"/>
        <c:majorGridlines/>
        <c:numFmt formatCode="General" sourceLinked="1"/>
        <c:tickLblPos val="nextTo"/>
        <c:crossAx val="5579686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7426A-5DD1-4217-B748-E8EBFA5B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4</Pages>
  <Words>937</Words>
  <Characters>535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KTTT</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Mac.Parzine</dc:creator>
  <cp:keywords/>
  <dc:description/>
  <cp:lastModifiedBy>Mac.Parzine</cp:lastModifiedBy>
  <cp:revision>10</cp:revision>
  <cp:lastPrinted>2017-08-28T08:56:00Z</cp:lastPrinted>
  <dcterms:created xsi:type="dcterms:W3CDTF">2017-08-14T12:31:00Z</dcterms:created>
  <dcterms:modified xsi:type="dcterms:W3CDTF">2017-08-28T14:26:00Z</dcterms:modified>
</cp:coreProperties>
</file>