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D2" w:rsidRDefault="00030AD2" w:rsidP="005552A0">
      <w:pPr>
        <w:tabs>
          <w:tab w:val="left" w:pos="7873"/>
        </w:tabs>
        <w:jc w:val="center"/>
        <w:rPr>
          <w:b/>
          <w:sz w:val="48"/>
          <w:szCs w:val="48"/>
        </w:rPr>
      </w:pPr>
      <w:r w:rsidRPr="00030AD2">
        <w:rPr>
          <w:b/>
          <w:sz w:val="48"/>
          <w:szCs w:val="48"/>
        </w:rPr>
        <w:t>Profesionālās  izglītības kompetences centrs</w:t>
      </w:r>
    </w:p>
    <w:p w:rsidR="00030AD2" w:rsidRPr="00030AD2" w:rsidRDefault="00030AD2" w:rsidP="005552A0">
      <w:pPr>
        <w:tabs>
          <w:tab w:val="left" w:pos="7873"/>
        </w:tabs>
        <w:jc w:val="center"/>
        <w:rPr>
          <w:b/>
          <w:sz w:val="48"/>
          <w:szCs w:val="48"/>
        </w:rPr>
      </w:pPr>
    </w:p>
    <w:p w:rsidR="005552A0" w:rsidRPr="00030AD2" w:rsidRDefault="005552A0" w:rsidP="005552A0">
      <w:pPr>
        <w:tabs>
          <w:tab w:val="left" w:pos="7873"/>
        </w:tabs>
        <w:jc w:val="center"/>
        <w:rPr>
          <w:b/>
          <w:sz w:val="48"/>
          <w:szCs w:val="48"/>
        </w:rPr>
      </w:pPr>
      <w:r w:rsidRPr="00030AD2">
        <w:rPr>
          <w:b/>
          <w:sz w:val="48"/>
          <w:szCs w:val="48"/>
        </w:rPr>
        <w:t>Kuldīgas Tehnoloģiju un tūrisma tehnikuma</w:t>
      </w:r>
    </w:p>
    <w:p w:rsidR="005552A0" w:rsidRPr="00030AD2" w:rsidRDefault="005552A0" w:rsidP="005552A0">
      <w:pPr>
        <w:tabs>
          <w:tab w:val="left" w:pos="7873"/>
        </w:tabs>
        <w:jc w:val="center"/>
        <w:rPr>
          <w:b/>
          <w:sz w:val="48"/>
          <w:szCs w:val="48"/>
        </w:rPr>
      </w:pPr>
    </w:p>
    <w:p w:rsidR="005552A0" w:rsidRDefault="005552A0" w:rsidP="005552A0">
      <w:pPr>
        <w:tabs>
          <w:tab w:val="left" w:pos="7873"/>
        </w:tabs>
        <w:jc w:val="center"/>
        <w:rPr>
          <w:b/>
          <w:sz w:val="56"/>
          <w:szCs w:val="56"/>
        </w:rPr>
      </w:pPr>
    </w:p>
    <w:p w:rsidR="005552A0" w:rsidRPr="00341C73" w:rsidRDefault="005552A0" w:rsidP="005552A0">
      <w:pPr>
        <w:tabs>
          <w:tab w:val="left" w:pos="7873"/>
        </w:tabs>
        <w:jc w:val="center"/>
        <w:rPr>
          <w:b/>
          <w:sz w:val="56"/>
          <w:szCs w:val="56"/>
        </w:rPr>
      </w:pPr>
    </w:p>
    <w:p w:rsidR="005552A0" w:rsidRPr="00030AD2" w:rsidRDefault="002D78B0" w:rsidP="005552A0">
      <w:pPr>
        <w:tabs>
          <w:tab w:val="left" w:pos="7873"/>
        </w:tabs>
        <w:jc w:val="center"/>
        <w:rPr>
          <w:b/>
          <w:sz w:val="40"/>
          <w:szCs w:val="40"/>
        </w:rPr>
      </w:pPr>
      <w:r w:rsidRPr="00030AD2">
        <w:rPr>
          <w:b/>
          <w:sz w:val="40"/>
          <w:szCs w:val="40"/>
        </w:rPr>
        <w:t>2019./2020</w:t>
      </w:r>
      <w:r w:rsidR="005552A0" w:rsidRPr="00030AD2">
        <w:rPr>
          <w:b/>
          <w:sz w:val="40"/>
          <w:szCs w:val="40"/>
        </w:rPr>
        <w:t xml:space="preserve">.gada VISC centralizēto eksāmenu statistika salīdzinājumā </w:t>
      </w:r>
    </w:p>
    <w:p w:rsidR="005552A0" w:rsidRDefault="005552A0" w:rsidP="005552A0">
      <w:pPr>
        <w:tabs>
          <w:tab w:val="left" w:pos="7873"/>
        </w:tabs>
        <w:jc w:val="center"/>
        <w:rPr>
          <w:b/>
          <w:sz w:val="56"/>
          <w:szCs w:val="56"/>
        </w:rPr>
      </w:pPr>
    </w:p>
    <w:p w:rsidR="005552A0" w:rsidRPr="00030AD2" w:rsidRDefault="005552A0" w:rsidP="005552A0">
      <w:pPr>
        <w:tabs>
          <w:tab w:val="left" w:pos="7873"/>
        </w:tabs>
        <w:jc w:val="center"/>
        <w:rPr>
          <w:b/>
          <w:sz w:val="40"/>
          <w:szCs w:val="40"/>
        </w:rPr>
      </w:pPr>
      <w:r w:rsidRPr="00030AD2">
        <w:rPr>
          <w:b/>
          <w:sz w:val="40"/>
          <w:szCs w:val="40"/>
        </w:rPr>
        <w:t xml:space="preserve">ar  </w:t>
      </w:r>
    </w:p>
    <w:p w:rsidR="005552A0" w:rsidRPr="00030AD2" w:rsidRDefault="002D78B0" w:rsidP="005552A0">
      <w:pPr>
        <w:tabs>
          <w:tab w:val="left" w:pos="7873"/>
        </w:tabs>
        <w:jc w:val="center"/>
        <w:rPr>
          <w:b/>
          <w:sz w:val="40"/>
          <w:szCs w:val="40"/>
        </w:rPr>
      </w:pPr>
      <w:r w:rsidRPr="00030AD2">
        <w:rPr>
          <w:b/>
          <w:sz w:val="40"/>
          <w:szCs w:val="40"/>
        </w:rPr>
        <w:t>2017./2018</w:t>
      </w:r>
      <w:r w:rsidR="005552A0" w:rsidRPr="00030AD2">
        <w:rPr>
          <w:b/>
          <w:sz w:val="40"/>
          <w:szCs w:val="40"/>
        </w:rPr>
        <w:t xml:space="preserve">.m.g., </w:t>
      </w:r>
    </w:p>
    <w:p w:rsidR="005552A0" w:rsidRPr="00030AD2" w:rsidRDefault="002D78B0" w:rsidP="002D78B0">
      <w:pPr>
        <w:tabs>
          <w:tab w:val="left" w:pos="7873"/>
        </w:tabs>
        <w:jc w:val="center"/>
        <w:rPr>
          <w:b/>
          <w:sz w:val="40"/>
          <w:szCs w:val="40"/>
        </w:rPr>
      </w:pPr>
      <w:r w:rsidRPr="00030AD2">
        <w:rPr>
          <w:b/>
          <w:sz w:val="40"/>
          <w:szCs w:val="40"/>
        </w:rPr>
        <w:t>2018./2019</w:t>
      </w:r>
      <w:r w:rsidR="005552A0" w:rsidRPr="00030AD2">
        <w:rPr>
          <w:b/>
          <w:sz w:val="40"/>
          <w:szCs w:val="40"/>
        </w:rPr>
        <w:t>.m.g</w:t>
      </w:r>
      <w:r w:rsidRPr="00030AD2">
        <w:rPr>
          <w:b/>
          <w:sz w:val="40"/>
          <w:szCs w:val="40"/>
        </w:rPr>
        <w:t>.</w:t>
      </w:r>
    </w:p>
    <w:p w:rsidR="00494AC7" w:rsidRDefault="00494AC7"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5552A0" w:rsidRDefault="005552A0" w:rsidP="00494AC7">
      <w:pPr>
        <w:jc w:val="center"/>
      </w:pPr>
    </w:p>
    <w:p w:rsidR="00933564" w:rsidRDefault="00933564" w:rsidP="00494AC7"/>
    <w:p w:rsidR="00884277" w:rsidRDefault="00884277" w:rsidP="00494AC7"/>
    <w:p w:rsidR="00884277" w:rsidRDefault="00884277" w:rsidP="00494AC7"/>
    <w:p w:rsidR="00030AD2" w:rsidRDefault="00030AD2" w:rsidP="00030AD2">
      <w:pPr>
        <w:jc w:val="both"/>
      </w:pPr>
      <w:r>
        <w:lastRenderedPageBreak/>
        <w:t xml:space="preserve">     </w:t>
      </w:r>
      <w:r>
        <w:t>Centralizēto eksāmenu rezultāti, neraugoties uz ārkārtas situāciju</w:t>
      </w:r>
      <w:r>
        <w:t xml:space="preserve"> valstī no 2020.g. 16.marta</w:t>
      </w:r>
      <w:r>
        <w:t>, ir labāki kā iepriekšējos gados. Vidējais vērtējums angļu valodā 52,76%, latviešu valodā 42,95%, matemātikā 16,19%(kārtoja 60 audzēkņi, vienam vēl nav zināmi eksāmenu rezultāti, jo angļu valoda mutvārdu daļai bija pieteikts papildtermiņā), vēsturē 37,84%(57 audzēkņi), fizikā 15,45%(10 audzēkņi).</w:t>
      </w:r>
    </w:p>
    <w:p w:rsidR="00030AD2" w:rsidRDefault="00030AD2" w:rsidP="00030AD2">
      <w:pPr>
        <w:jc w:val="both"/>
      </w:pPr>
      <w:r>
        <w:t xml:space="preserve">Saglabājas tendence, ka 1.svešvalodu izglītojamie pārvalda arvien labāk, 28 ieguvuši B1 līmeni, 15 B2 līmeni, tas ir 75,43% eksāmenu kārtojošo izglītojamo. Diemžēl ir daži audzēkņi, kuru  zināšanas angļu valodā, neskatoties uz atbalsta pasākumiem </w:t>
      </w:r>
      <w:r>
        <w:t xml:space="preserve">un papildus gan tiešsaistes, gan individuāli nodrošinātām klātienes  konsultācijām,  ir kritiski zemā </w:t>
      </w:r>
      <w:r>
        <w:t>līmenī. Vairāki audzēkņi</w:t>
      </w:r>
      <w:r>
        <w:t xml:space="preserve"> (14 persona</w:t>
      </w:r>
      <w:bookmarkStart w:id="0" w:name="_GoBack"/>
      <w:bookmarkEnd w:id="0"/>
      <w:r>
        <w:t>s)</w:t>
      </w:r>
      <w:r>
        <w:t xml:space="preserve"> , kuri  apmeklēja projekta </w:t>
      </w:r>
      <w:r w:rsidRPr="00030AD2">
        <w:rPr>
          <w:i/>
        </w:rPr>
        <w:t>Pumpurs</w:t>
      </w:r>
      <w:r>
        <w:t xml:space="preserve"> konsultācijas, ir uzrādījuši eksāmenā salīdzinoši labus rezultātus. Labākais rezultāts 91%, sliktākais- 10%.</w:t>
      </w:r>
    </w:p>
    <w:p w:rsidR="00884277" w:rsidRDefault="00884277" w:rsidP="00494AC7"/>
    <w:p w:rsidR="00884277" w:rsidRDefault="00884277" w:rsidP="00494AC7"/>
    <w:p w:rsidR="00494AC7" w:rsidRDefault="00494AC7" w:rsidP="00494AC7">
      <w:r w:rsidRPr="00BD1C8F">
        <w:rPr>
          <w:noProof/>
        </w:rPr>
        <w:drawing>
          <wp:inline distT="0" distB="0" distL="0" distR="0">
            <wp:extent cx="5419725" cy="3067050"/>
            <wp:effectExtent l="0" t="0" r="0" b="0"/>
            <wp:docPr id="4"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84277" w:rsidRDefault="00884277" w:rsidP="00494AC7"/>
    <w:p w:rsidR="00884277" w:rsidRDefault="00884277" w:rsidP="00494AC7"/>
    <w:p w:rsidR="00884277" w:rsidRDefault="00884277" w:rsidP="00494AC7"/>
    <w:p w:rsidR="00884277" w:rsidRDefault="00884277" w:rsidP="00494AC7"/>
    <w:p w:rsidR="00884277" w:rsidRDefault="00884277" w:rsidP="00494AC7"/>
    <w:p w:rsidR="00884277" w:rsidRDefault="00884277" w:rsidP="00494AC7"/>
    <w:p w:rsidR="00884277" w:rsidRPr="00C06D70" w:rsidRDefault="00884277" w:rsidP="00494AC7"/>
    <w:p w:rsidR="00D56BAC" w:rsidRDefault="004B3C46" w:rsidP="00D56BAC">
      <w:r>
        <w:rPr>
          <w:noProof/>
        </w:rPr>
        <w:lastRenderedPageBreak/>
        <w:drawing>
          <wp:inline distT="0" distB="0" distL="0" distR="0">
            <wp:extent cx="5274310" cy="3076575"/>
            <wp:effectExtent l="0" t="0" r="2540"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CE3814">
        <w:t>V</w:t>
      </w:r>
      <w:r w:rsidR="00833057">
        <w:t xml:space="preserve">ērtējums latviešu valodas eksāmenā ir </w:t>
      </w:r>
      <w:r w:rsidR="00CE3814">
        <w:t>uzlabojies</w:t>
      </w:r>
      <w:r w:rsidR="00833057">
        <w:t xml:space="preserve">. </w:t>
      </w:r>
      <w:r w:rsidR="00CE3814">
        <w:t>Audzēkņi ņēmuši vērā pedagogu norādes, gatavojoties centralizētajam eksāmenam, vērtīgi bijis, ka audzēkņi apmeklējuši klātienes eksāmena konsultācijas.</w:t>
      </w:r>
      <w:r w:rsidR="007205BB" w:rsidRPr="007205BB">
        <w:t xml:space="preserve"> </w:t>
      </w:r>
      <w:r w:rsidR="007205BB">
        <w:t>Labākais rezultāts 72%, sliktākais- 14%.</w:t>
      </w:r>
    </w:p>
    <w:p w:rsidR="007205BB" w:rsidRDefault="00D56BAC" w:rsidP="007205BB">
      <w:r>
        <w:t>M</w:t>
      </w:r>
      <w:r w:rsidR="00F47DE4">
        <w:t>atemātikas eksāmena rezultāti</w:t>
      </w:r>
      <w:r>
        <w:t xml:space="preserve"> ir </w:t>
      </w:r>
      <w:r w:rsidR="00CE3814">
        <w:t>pasliktinājušies, viens no iemesliem ir jau minētais, neregulārs darbs</w:t>
      </w:r>
      <w:r w:rsidR="00CC2659">
        <w:t>.</w:t>
      </w:r>
      <w:r w:rsidR="00307553">
        <w:t xml:space="preserve"> Eksāmenu</w:t>
      </w:r>
      <w:r w:rsidR="00CE3814">
        <w:t xml:space="preserve"> nenokārtoja viens audzēknis, par kura rezultātiem jau satraukumu pauda eksāmena vadītājs, jo audzēknis bija nemotivēts, un iespējami drīz vēlējās eksāmena telpu pamest. Acīmredzot papildus jāstrādā ar audzēkņiem, sagatavojot viņus eksāmenam psiholoģiski, lai viņi prastu eksāmenā atrast iespēju, savākt punktus.</w:t>
      </w:r>
      <w:r w:rsidR="007205BB">
        <w:t xml:space="preserve"> Labākais rezultāts 47%, sliktākais- 6%.</w:t>
      </w:r>
    </w:p>
    <w:p w:rsidR="00D56BAC" w:rsidRDefault="00D56BAC" w:rsidP="00D56BAC"/>
    <w:p w:rsidR="00CC2659" w:rsidRDefault="00CC2659" w:rsidP="00CC2659">
      <w:r w:rsidRPr="004A7E40">
        <w:t xml:space="preserve"> </w:t>
      </w:r>
      <w:r w:rsidRPr="00BD1C8F">
        <w:rPr>
          <w:noProof/>
        </w:rPr>
        <w:drawing>
          <wp:inline distT="0" distB="0" distL="0" distR="0">
            <wp:extent cx="5534025" cy="3105150"/>
            <wp:effectExtent l="0" t="0" r="9525" b="0"/>
            <wp:docPr id="9"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2659" w:rsidRDefault="00CC2659" w:rsidP="00CC2659"/>
    <w:p w:rsidR="00494AC7" w:rsidRDefault="00494AC7" w:rsidP="00494AC7"/>
    <w:p w:rsidR="00494AC7" w:rsidRPr="004A7E40" w:rsidRDefault="00494AC7" w:rsidP="00494AC7"/>
    <w:p w:rsidR="00494AC7" w:rsidRDefault="00494AC7" w:rsidP="00494AC7">
      <w:r w:rsidRPr="00BD1C8F">
        <w:rPr>
          <w:noProof/>
        </w:rPr>
        <w:lastRenderedPageBreak/>
        <w:drawing>
          <wp:inline distT="0" distB="0" distL="0" distR="0">
            <wp:extent cx="5600700" cy="2943225"/>
            <wp:effectExtent l="0" t="0" r="0" b="9525"/>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05BB" w:rsidRDefault="00CE3814" w:rsidP="007205BB">
      <w:r>
        <w:t>Uzlabojušies arī eksāmena rezultāti</w:t>
      </w:r>
      <w:r w:rsidR="00494AC7">
        <w:t xml:space="preserve"> Latvijas un pasaules vēsturē</w:t>
      </w:r>
      <w:r>
        <w:t>, un</w:t>
      </w:r>
      <w:r w:rsidR="00494AC7">
        <w:t xml:space="preserve"> </w:t>
      </w:r>
      <w:r>
        <w:t xml:space="preserve">tas </w:t>
      </w:r>
      <w:r w:rsidR="005552A0">
        <w:t>pierāda, ka skolotāja strādā ar pareizām metodēm, līdzekļiem, paņēmieniem, panākot, ka rezultāti eksāmenā uzlabojas</w:t>
      </w:r>
      <w:r>
        <w:t>. Derīgi bijis arī, ka audzēkņi varēja apmeklēt klātienes konsultācijas, kur skolotāja devusi ļoti svarīgas norādes un audzēkņi, par kuru eksāmena rezultātiem bija satraukums, eksāmenu nokārtojuši.</w:t>
      </w:r>
      <w:r w:rsidR="00FE3E33">
        <w:t xml:space="preserve"> </w:t>
      </w:r>
      <w:r w:rsidR="007205BB">
        <w:t xml:space="preserve">Labākais rezultāts 66%, sliktākais- </w:t>
      </w:r>
      <w:r w:rsidR="00FE3E33">
        <w:t>20</w:t>
      </w:r>
      <w:r w:rsidR="007205BB">
        <w:t>%.</w:t>
      </w:r>
    </w:p>
    <w:p w:rsidR="00494AC7" w:rsidRDefault="00494AC7" w:rsidP="00494AC7"/>
    <w:p w:rsidR="00CB5A2B" w:rsidRDefault="00CB5A2B" w:rsidP="00494AC7"/>
    <w:p w:rsidR="00CB5A2B" w:rsidRPr="007D1406" w:rsidRDefault="00631914" w:rsidP="00494AC7">
      <w:r>
        <w:t>Centralizēto eksāmenu</w:t>
      </w:r>
      <w:r w:rsidR="00CB5A2B">
        <w:t xml:space="preserve"> fizikā</w:t>
      </w:r>
      <w:r>
        <w:t xml:space="preserve"> kā izvēles eksāmenu kārto neliels audzēkņu skaits. Šogad viens audzēknis ieguvis 42 %, tas uzlabo arī vidējo rādītāju. Pie tam eksāmenā jau trešo gadu zināšanas ir jāparāda eksāmena norises gaitā( nevis jāiesniedz iepriekš sagatavots laboratorijas darbs), kas liecina par </w:t>
      </w:r>
      <w:r w:rsidR="00FE3E33">
        <w:t>apmierinošām audzēkņu</w:t>
      </w:r>
      <w:r>
        <w:t xml:space="preserve"> pamatzināšanām. </w:t>
      </w:r>
    </w:p>
    <w:p w:rsidR="006106C5" w:rsidRDefault="00CB5A2B">
      <w:r>
        <w:rPr>
          <w:noProof/>
        </w:rPr>
        <w:drawing>
          <wp:inline distT="0" distB="0" distL="0" distR="0">
            <wp:extent cx="5274310" cy="3076575"/>
            <wp:effectExtent l="0" t="0" r="2540" b="95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6106C5" w:rsidSect="00030AD2">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C7"/>
    <w:rsid w:val="00030AD2"/>
    <w:rsid w:val="00130299"/>
    <w:rsid w:val="00181796"/>
    <w:rsid w:val="00183A9E"/>
    <w:rsid w:val="002D78B0"/>
    <w:rsid w:val="00307553"/>
    <w:rsid w:val="003960D3"/>
    <w:rsid w:val="00494AC7"/>
    <w:rsid w:val="004B3C46"/>
    <w:rsid w:val="004D3D7E"/>
    <w:rsid w:val="005552A0"/>
    <w:rsid w:val="006106C5"/>
    <w:rsid w:val="00631914"/>
    <w:rsid w:val="006B7C63"/>
    <w:rsid w:val="006D252C"/>
    <w:rsid w:val="007205BB"/>
    <w:rsid w:val="00833057"/>
    <w:rsid w:val="00884277"/>
    <w:rsid w:val="00933564"/>
    <w:rsid w:val="009A74CE"/>
    <w:rsid w:val="00AF00DC"/>
    <w:rsid w:val="00B233DA"/>
    <w:rsid w:val="00B54ACD"/>
    <w:rsid w:val="00BF6978"/>
    <w:rsid w:val="00C935AF"/>
    <w:rsid w:val="00CB5A2B"/>
    <w:rsid w:val="00CC2659"/>
    <w:rsid w:val="00CE3814"/>
    <w:rsid w:val="00D56BAC"/>
    <w:rsid w:val="00DD490A"/>
    <w:rsid w:val="00F47DE4"/>
    <w:rsid w:val="00FE3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B3CF-80D8-4929-B59E-AFF56408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C7"/>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494AC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4AC7"/>
    <w:rPr>
      <w:rFonts w:ascii="Times New Roman" w:eastAsia="Times New Roman" w:hAnsi="Times New Roman" w:cs="Times New Roman"/>
      <w:b/>
      <w:bCs/>
      <w:i/>
      <w:i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VISC</a:t>
            </a:r>
            <a:r>
              <a:rPr lang="lv-LV" baseline="0"/>
              <a:t> centralizētais eksāmens angļu valodā</a:t>
            </a:r>
            <a:endParaRPr lang="lv-LV"/>
          </a:p>
        </c:rich>
      </c:tx>
      <c:overlay val="0"/>
      <c:spPr>
        <a:noFill/>
        <a:ln w="25400">
          <a:noFill/>
        </a:ln>
      </c:spPr>
    </c:title>
    <c:autoTitleDeleted val="0"/>
    <c:plotArea>
      <c:layout/>
      <c:barChart>
        <c:barDir val="col"/>
        <c:grouping val="clustered"/>
        <c:varyColors val="0"/>
        <c:ser>
          <c:idx val="0"/>
          <c:order val="0"/>
          <c:tx>
            <c:strRef>
              <c:f>Lapa1!$B$1</c:f>
              <c:strCache>
                <c:ptCount val="1"/>
                <c:pt idx="0">
                  <c:v>2017./2018.m.g.-67, vid.vērt.40,8%</c:v>
                </c:pt>
              </c:strCache>
            </c:strRef>
          </c:tx>
          <c:invertIfNegative val="0"/>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Lapa1!$B$2:$B$10</c:f>
              <c:numCache>
                <c:formatCode>General</c:formatCode>
                <c:ptCount val="9"/>
                <c:pt idx="1">
                  <c:v>11</c:v>
                </c:pt>
                <c:pt idx="2">
                  <c:v>8</c:v>
                </c:pt>
                <c:pt idx="3">
                  <c:v>14</c:v>
                </c:pt>
                <c:pt idx="4">
                  <c:v>9</c:v>
                </c:pt>
                <c:pt idx="5">
                  <c:v>25</c:v>
                </c:pt>
                <c:pt idx="6">
                  <c:v>27</c:v>
                </c:pt>
                <c:pt idx="7">
                  <c:v>8</c:v>
                </c:pt>
                <c:pt idx="8">
                  <c:v>40.799999999999997</c:v>
                </c:pt>
              </c:numCache>
            </c:numRef>
          </c:val>
        </c:ser>
        <c:ser>
          <c:idx val="1"/>
          <c:order val="1"/>
          <c:tx>
            <c:strRef>
              <c:f>Lapa1!$C$1</c:f>
              <c:strCache>
                <c:ptCount val="1"/>
                <c:pt idx="0">
                  <c:v>2018./2019.m.g.-53, vid.vērt.45,5%</c:v>
                </c:pt>
              </c:strCache>
            </c:strRef>
          </c:tx>
          <c:invertIfNegative val="0"/>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Lapa1!$C$2:$C$10</c:f>
              <c:numCache>
                <c:formatCode>General</c:formatCode>
                <c:ptCount val="9"/>
                <c:pt idx="1">
                  <c:v>2</c:v>
                </c:pt>
                <c:pt idx="2">
                  <c:v>3</c:v>
                </c:pt>
                <c:pt idx="3">
                  <c:v>11</c:v>
                </c:pt>
                <c:pt idx="4">
                  <c:v>13</c:v>
                </c:pt>
                <c:pt idx="5">
                  <c:v>20</c:v>
                </c:pt>
                <c:pt idx="6">
                  <c:v>26</c:v>
                </c:pt>
                <c:pt idx="7">
                  <c:v>7</c:v>
                </c:pt>
                <c:pt idx="8">
                  <c:v>45.5</c:v>
                </c:pt>
              </c:numCache>
            </c:numRef>
          </c:val>
        </c:ser>
        <c:ser>
          <c:idx val="2"/>
          <c:order val="2"/>
          <c:tx>
            <c:strRef>
              <c:f>Lapa1!$D$1</c:f>
              <c:strCache>
                <c:ptCount val="1"/>
                <c:pt idx="0">
                  <c:v>2019.-2020.m.g.-59, vid.vērt.-52,76%</c:v>
                </c:pt>
              </c:strCache>
            </c:strRef>
          </c:tx>
          <c:invertIfNegative val="0"/>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Lapa1!$D$2:$D$10</c:f>
              <c:numCache>
                <c:formatCode>General</c:formatCode>
                <c:ptCount val="9"/>
                <c:pt idx="0">
                  <c:v>1</c:v>
                </c:pt>
                <c:pt idx="1">
                  <c:v>4</c:v>
                </c:pt>
                <c:pt idx="2">
                  <c:v>6</c:v>
                </c:pt>
                <c:pt idx="3">
                  <c:v>6</c:v>
                </c:pt>
                <c:pt idx="4">
                  <c:v>9</c:v>
                </c:pt>
                <c:pt idx="5">
                  <c:v>33</c:v>
                </c:pt>
                <c:pt idx="6">
                  <c:v>28</c:v>
                </c:pt>
                <c:pt idx="7">
                  <c:v>15</c:v>
                </c:pt>
                <c:pt idx="8">
                  <c:v>52.76</c:v>
                </c:pt>
              </c:numCache>
            </c:numRef>
          </c:val>
        </c:ser>
        <c:dLbls>
          <c:showLegendKey val="0"/>
          <c:showVal val="0"/>
          <c:showCatName val="0"/>
          <c:showSerName val="0"/>
          <c:showPercent val="0"/>
          <c:showBubbleSize val="0"/>
        </c:dLbls>
        <c:gapWidth val="150"/>
        <c:axId val="401195416"/>
        <c:axId val="198748520"/>
      </c:barChart>
      <c:catAx>
        <c:axId val="401195416"/>
        <c:scaling>
          <c:orientation val="minMax"/>
        </c:scaling>
        <c:delete val="0"/>
        <c:axPos val="b"/>
        <c:numFmt formatCode="General" sourceLinked="0"/>
        <c:majorTickMark val="none"/>
        <c:minorTickMark val="none"/>
        <c:tickLblPos val="nextTo"/>
        <c:crossAx val="198748520"/>
        <c:crosses val="autoZero"/>
        <c:auto val="1"/>
        <c:lblAlgn val="ctr"/>
        <c:lblOffset val="100"/>
        <c:noMultiLvlLbl val="0"/>
      </c:catAx>
      <c:valAx>
        <c:axId val="198748520"/>
        <c:scaling>
          <c:orientation val="minMax"/>
        </c:scaling>
        <c:delete val="0"/>
        <c:axPos val="l"/>
        <c:majorGridlines/>
        <c:numFmt formatCode="General" sourceLinked="1"/>
        <c:majorTickMark val="none"/>
        <c:minorTickMark val="none"/>
        <c:tickLblPos val="nextTo"/>
        <c:crossAx val="4011954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VISC centralizētais eksāmens latviešu valodā</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2017.-2018.m.g.- 67, vid.vērt.-37,62</c:v>
                </c:pt>
              </c:strCache>
            </c:strRef>
          </c:tx>
          <c:spPr>
            <a:solidFill>
              <a:schemeClr val="accent1"/>
            </a:solidFill>
            <a:ln>
              <a:noFill/>
            </a:ln>
            <a:effectLst/>
          </c:spPr>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0</c:v>
                </c:pt>
                <c:pt idx="1">
                  <c:v>1</c:v>
                </c:pt>
                <c:pt idx="2">
                  <c:v>15</c:v>
                </c:pt>
                <c:pt idx="3">
                  <c:v>22</c:v>
                </c:pt>
                <c:pt idx="4">
                  <c:v>15</c:v>
                </c:pt>
                <c:pt idx="5">
                  <c:v>14</c:v>
                </c:pt>
                <c:pt idx="6">
                  <c:v>37.619999999999997</c:v>
                </c:pt>
              </c:numCache>
            </c:numRef>
          </c:val>
        </c:ser>
        <c:ser>
          <c:idx val="1"/>
          <c:order val="1"/>
          <c:tx>
            <c:strRef>
              <c:f>Lapa1!$C$1</c:f>
              <c:strCache>
                <c:ptCount val="1"/>
                <c:pt idx="0">
                  <c:v>2018./2019.m.g.-53, vid.vērt. 33,58   </c:v>
                </c:pt>
              </c:strCache>
            </c:strRef>
          </c:tx>
          <c:spPr>
            <a:solidFill>
              <a:schemeClr val="accent2"/>
            </a:solidFill>
            <a:ln>
              <a:noFill/>
            </a:ln>
            <a:effectLst/>
          </c:spPr>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0">
                  <c:v>0</c:v>
                </c:pt>
                <c:pt idx="1">
                  <c:v>2</c:v>
                </c:pt>
                <c:pt idx="2">
                  <c:v>14</c:v>
                </c:pt>
                <c:pt idx="3">
                  <c:v>19</c:v>
                </c:pt>
                <c:pt idx="4">
                  <c:v>8</c:v>
                </c:pt>
                <c:pt idx="5">
                  <c:v>6</c:v>
                </c:pt>
                <c:pt idx="6">
                  <c:v>33.58</c:v>
                </c:pt>
              </c:numCache>
            </c:numRef>
          </c:val>
        </c:ser>
        <c:ser>
          <c:idx val="2"/>
          <c:order val="2"/>
          <c:tx>
            <c:strRef>
              <c:f>Lapa1!$D$1</c:f>
              <c:strCache>
                <c:ptCount val="1"/>
                <c:pt idx="0">
                  <c:v>2019./2020.m.g.-59, vid.vērt.42,95</c:v>
                </c:pt>
              </c:strCache>
            </c:strRef>
          </c:tx>
          <c:spPr>
            <a:solidFill>
              <a:schemeClr val="accent3"/>
            </a:solidFill>
            <a:ln>
              <a:noFill/>
            </a:ln>
            <a:effectLst/>
          </c:spPr>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1">
                  <c:v>4</c:v>
                </c:pt>
                <c:pt idx="2">
                  <c:v>9</c:v>
                </c:pt>
                <c:pt idx="3">
                  <c:v>16</c:v>
                </c:pt>
                <c:pt idx="4">
                  <c:v>10</c:v>
                </c:pt>
                <c:pt idx="5">
                  <c:v>20</c:v>
                </c:pt>
                <c:pt idx="6">
                  <c:v>42.95</c:v>
                </c:pt>
              </c:numCache>
            </c:numRef>
          </c:val>
        </c:ser>
        <c:dLbls>
          <c:showLegendKey val="0"/>
          <c:showVal val="0"/>
          <c:showCatName val="0"/>
          <c:showSerName val="0"/>
          <c:showPercent val="0"/>
          <c:showBubbleSize val="0"/>
        </c:dLbls>
        <c:gapWidth val="219"/>
        <c:overlap val="-27"/>
        <c:axId val="402869736"/>
        <c:axId val="402870128"/>
      </c:barChart>
      <c:catAx>
        <c:axId val="40286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870128"/>
        <c:crosses val="autoZero"/>
        <c:auto val="1"/>
        <c:lblAlgn val="ctr"/>
        <c:lblOffset val="100"/>
        <c:noMultiLvlLbl val="0"/>
      </c:catAx>
      <c:valAx>
        <c:axId val="40287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0286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VISC centralizētais eksāmens matemātikā</a:t>
            </a:r>
          </a:p>
        </c:rich>
      </c:tx>
      <c:overlay val="0"/>
      <c:spPr>
        <a:noFill/>
        <a:ln w="25417">
          <a:noFill/>
        </a:ln>
      </c:spPr>
    </c:title>
    <c:autoTitleDeleted val="0"/>
    <c:plotArea>
      <c:layout/>
      <c:barChart>
        <c:barDir val="col"/>
        <c:grouping val="clustered"/>
        <c:varyColors val="0"/>
        <c:ser>
          <c:idx val="2"/>
          <c:order val="0"/>
          <c:tx>
            <c:strRef>
              <c:f>Lapa1!$B$1</c:f>
              <c:strCache>
                <c:ptCount val="1"/>
                <c:pt idx="0">
                  <c:v>2017./2018.m.g.-70, 1 nenokārtoja, vid.rezult.13,6%</c:v>
                </c:pt>
              </c:strCache>
            </c:strRef>
          </c:tx>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25</c:v>
                </c:pt>
                <c:pt idx="1">
                  <c:v>35</c:v>
                </c:pt>
                <c:pt idx="2">
                  <c:v>7</c:v>
                </c:pt>
                <c:pt idx="3">
                  <c:v>1</c:v>
                </c:pt>
                <c:pt idx="5">
                  <c:v>1</c:v>
                </c:pt>
                <c:pt idx="6">
                  <c:v>13.6</c:v>
                </c:pt>
              </c:numCache>
            </c:numRef>
          </c:val>
        </c:ser>
        <c:ser>
          <c:idx val="3"/>
          <c:order val="1"/>
          <c:tx>
            <c:strRef>
              <c:f>Lapa1!$C$1</c:f>
              <c:strCache>
                <c:ptCount val="1"/>
                <c:pt idx="0">
                  <c:v>2018./2019.m.g.-54,  vid.rezult. 22,32%</c:v>
                </c:pt>
              </c:strCache>
            </c:strRef>
          </c:tx>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0">
                  <c:v>9</c:v>
                </c:pt>
                <c:pt idx="1">
                  <c:v>30</c:v>
                </c:pt>
                <c:pt idx="2">
                  <c:v>8</c:v>
                </c:pt>
                <c:pt idx="3">
                  <c:v>3</c:v>
                </c:pt>
                <c:pt idx="6">
                  <c:v>22.32</c:v>
                </c:pt>
              </c:numCache>
            </c:numRef>
          </c:val>
        </c:ser>
        <c:ser>
          <c:idx val="0"/>
          <c:order val="2"/>
          <c:tx>
            <c:strRef>
              <c:f>Lapa1!$D$1</c:f>
              <c:strCache>
                <c:ptCount val="1"/>
                <c:pt idx="0">
                  <c:v>2019./2020.m.g.-59, 1 nenokārtoja, vid,vērt.-16,19</c:v>
                </c:pt>
              </c:strCache>
            </c:strRef>
          </c:tx>
          <c:invertIfNegative val="0"/>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0">
                  <c:v>19</c:v>
                </c:pt>
                <c:pt idx="1">
                  <c:v>24</c:v>
                </c:pt>
                <c:pt idx="2">
                  <c:v>13</c:v>
                </c:pt>
                <c:pt idx="3">
                  <c:v>1</c:v>
                </c:pt>
                <c:pt idx="4">
                  <c:v>2</c:v>
                </c:pt>
                <c:pt idx="6">
                  <c:v>16.190000000000001</c:v>
                </c:pt>
              </c:numCache>
            </c:numRef>
          </c:val>
        </c:ser>
        <c:dLbls>
          <c:showLegendKey val="0"/>
          <c:showVal val="0"/>
          <c:showCatName val="0"/>
          <c:showSerName val="0"/>
          <c:showPercent val="0"/>
          <c:showBubbleSize val="0"/>
        </c:dLbls>
        <c:gapWidth val="150"/>
        <c:axId val="402868952"/>
        <c:axId val="212458496"/>
      </c:barChart>
      <c:catAx>
        <c:axId val="402868952"/>
        <c:scaling>
          <c:orientation val="minMax"/>
        </c:scaling>
        <c:delete val="0"/>
        <c:axPos val="b"/>
        <c:numFmt formatCode="General" sourceLinked="0"/>
        <c:majorTickMark val="out"/>
        <c:minorTickMark val="none"/>
        <c:tickLblPos val="nextTo"/>
        <c:crossAx val="212458496"/>
        <c:crosses val="autoZero"/>
        <c:auto val="1"/>
        <c:lblAlgn val="ctr"/>
        <c:lblOffset val="100"/>
        <c:noMultiLvlLbl val="0"/>
      </c:catAx>
      <c:valAx>
        <c:axId val="212458496"/>
        <c:scaling>
          <c:orientation val="minMax"/>
        </c:scaling>
        <c:delete val="0"/>
        <c:axPos val="l"/>
        <c:majorGridlines/>
        <c:numFmt formatCode="General" sourceLinked="1"/>
        <c:majorTickMark val="out"/>
        <c:minorTickMark val="none"/>
        <c:tickLblPos val="nextTo"/>
        <c:crossAx val="402868952"/>
        <c:crosses val="autoZero"/>
        <c:crossBetween val="between"/>
      </c:valAx>
    </c:plotArea>
    <c:legend>
      <c:legendPos val="r"/>
      <c:layout>
        <c:manualLayout>
          <c:xMode val="edge"/>
          <c:yMode val="edge"/>
          <c:x val="0.7149351511783919"/>
          <c:y val="0.38439688903917685"/>
          <c:w val="0.26662293719309177"/>
          <c:h val="0.5835215690063282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VISC centralizētais</a:t>
            </a:r>
            <a:r>
              <a:rPr lang="lv-LV" baseline="0"/>
              <a:t> eksāmens Latvijas un pasaules vēsturē</a:t>
            </a:r>
            <a:endParaRPr lang="lv-LV"/>
          </a:p>
        </c:rich>
      </c:tx>
      <c:overlay val="0"/>
      <c:spPr>
        <a:noFill/>
        <a:ln w="25391">
          <a:noFill/>
        </a:ln>
      </c:spPr>
    </c:title>
    <c:autoTitleDeleted val="0"/>
    <c:plotArea>
      <c:layout/>
      <c:barChart>
        <c:barDir val="col"/>
        <c:grouping val="clustered"/>
        <c:varyColors val="0"/>
        <c:ser>
          <c:idx val="0"/>
          <c:order val="0"/>
          <c:tx>
            <c:strRef>
              <c:f>Lapa1!#REF!</c:f>
              <c:strCache>
                <c:ptCount val="1"/>
                <c:pt idx="0">
                  <c:v>#REF!</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Lapa1!#REF!</c:f>
              <c:numCache>
                <c:formatCode>General</c:formatCode>
                <c:ptCount val="1"/>
                <c:pt idx="0">
                  <c:v>1</c:v>
                </c:pt>
              </c:numCache>
            </c:numRef>
          </c:val>
        </c:ser>
        <c:ser>
          <c:idx val="1"/>
          <c:order val="1"/>
          <c:tx>
            <c:strRef>
              <c:f>Lapa1!$B$1</c:f>
              <c:strCache>
                <c:ptCount val="1"/>
                <c:pt idx="0">
                  <c:v>2017./2018.m.g.-64, vid.vērt.23,18%</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Lapa1!$B$2:$B$9</c:f>
              <c:numCache>
                <c:formatCode>General</c:formatCode>
                <c:ptCount val="8"/>
                <c:pt idx="0">
                  <c:v>0</c:v>
                </c:pt>
                <c:pt idx="1">
                  <c:v>2</c:v>
                </c:pt>
                <c:pt idx="2">
                  <c:v>20</c:v>
                </c:pt>
                <c:pt idx="3">
                  <c:v>25</c:v>
                </c:pt>
                <c:pt idx="4">
                  <c:v>10</c:v>
                </c:pt>
                <c:pt idx="5">
                  <c:v>4</c:v>
                </c:pt>
                <c:pt idx="6">
                  <c:v>3</c:v>
                </c:pt>
                <c:pt idx="7">
                  <c:v>23.18</c:v>
                </c:pt>
              </c:numCache>
            </c:numRef>
          </c:val>
        </c:ser>
        <c:ser>
          <c:idx val="2"/>
          <c:order val="2"/>
          <c:tx>
            <c:strRef>
              <c:f>Lapa1!$C$1</c:f>
              <c:strCache>
                <c:ptCount val="1"/>
                <c:pt idx="0">
                  <c:v>2018./2019.m.g.-62, vid.rezult.- 35.8%</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Lapa1!$C$2:$C$9</c:f>
              <c:numCache>
                <c:formatCode>General</c:formatCode>
                <c:ptCount val="8"/>
                <c:pt idx="0">
                  <c:v>0</c:v>
                </c:pt>
                <c:pt idx="1">
                  <c:v>5</c:v>
                </c:pt>
                <c:pt idx="2">
                  <c:v>9</c:v>
                </c:pt>
                <c:pt idx="3">
                  <c:v>19</c:v>
                </c:pt>
                <c:pt idx="4">
                  <c:v>8</c:v>
                </c:pt>
                <c:pt idx="5">
                  <c:v>5</c:v>
                </c:pt>
                <c:pt idx="6">
                  <c:v>3</c:v>
                </c:pt>
                <c:pt idx="7">
                  <c:v>35.799999999999997</c:v>
                </c:pt>
              </c:numCache>
            </c:numRef>
          </c:val>
        </c:ser>
        <c:ser>
          <c:idx val="3"/>
          <c:order val="3"/>
          <c:tx>
            <c:strRef>
              <c:f>Lapa1!$D$1</c:f>
              <c:strCache>
                <c:ptCount val="1"/>
                <c:pt idx="0">
                  <c:v>2019./2020.m.g.-57, vid.vērt. 37,84</c:v>
                </c:pt>
              </c:strCache>
            </c:strRef>
          </c:tx>
          <c:invertIfNegative val="0"/>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Lapa1!$D$2:$D$9</c:f>
              <c:numCache>
                <c:formatCode>General</c:formatCode>
                <c:ptCount val="8"/>
                <c:pt idx="0">
                  <c:v>0</c:v>
                </c:pt>
                <c:pt idx="1">
                  <c:v>4</c:v>
                </c:pt>
                <c:pt idx="2">
                  <c:v>14</c:v>
                </c:pt>
                <c:pt idx="3">
                  <c:v>17</c:v>
                </c:pt>
                <c:pt idx="4">
                  <c:v>13</c:v>
                </c:pt>
                <c:pt idx="5">
                  <c:v>7</c:v>
                </c:pt>
                <c:pt idx="6">
                  <c:v>2</c:v>
                </c:pt>
                <c:pt idx="7">
                  <c:v>37.840000000000003</c:v>
                </c:pt>
              </c:numCache>
            </c:numRef>
          </c:val>
        </c:ser>
        <c:dLbls>
          <c:showLegendKey val="0"/>
          <c:showVal val="0"/>
          <c:showCatName val="0"/>
          <c:showSerName val="0"/>
          <c:showPercent val="0"/>
          <c:showBubbleSize val="0"/>
        </c:dLbls>
        <c:gapWidth val="150"/>
        <c:axId val="212458104"/>
        <c:axId val="399670616"/>
      </c:barChart>
      <c:catAx>
        <c:axId val="212458104"/>
        <c:scaling>
          <c:orientation val="minMax"/>
        </c:scaling>
        <c:delete val="0"/>
        <c:axPos val="b"/>
        <c:numFmt formatCode="General" sourceLinked="0"/>
        <c:majorTickMark val="out"/>
        <c:minorTickMark val="none"/>
        <c:tickLblPos val="nextTo"/>
        <c:crossAx val="399670616"/>
        <c:crosses val="autoZero"/>
        <c:auto val="1"/>
        <c:lblAlgn val="ctr"/>
        <c:lblOffset val="100"/>
        <c:noMultiLvlLbl val="0"/>
      </c:catAx>
      <c:valAx>
        <c:axId val="399670616"/>
        <c:scaling>
          <c:orientation val="minMax"/>
        </c:scaling>
        <c:delete val="0"/>
        <c:axPos val="l"/>
        <c:majorGridlines/>
        <c:numFmt formatCode="General" sourceLinked="1"/>
        <c:majorTickMark val="out"/>
        <c:minorTickMark val="none"/>
        <c:tickLblPos val="nextTo"/>
        <c:crossAx val="212458104"/>
        <c:crosses val="autoZero"/>
        <c:crossBetween val="between"/>
      </c:valAx>
    </c:plotArea>
    <c:legend>
      <c:legendPos val="r"/>
      <c:legendEntry>
        <c:idx val="0"/>
        <c:delete val="1"/>
      </c:legendEntry>
      <c:layout>
        <c:manualLayout>
          <c:xMode val="edge"/>
          <c:yMode val="edge"/>
          <c:x val="0.66068009355973356"/>
          <c:y val="0.34527873336221321"/>
          <c:w val="0.33024961165568589"/>
          <c:h val="0.5206615192518411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solidFill>
                  <a:sysClr val="windowText" lastClr="000000"/>
                </a:solidFill>
              </a:rPr>
              <a:t>VISC</a:t>
            </a:r>
            <a:r>
              <a:rPr lang="lv-LV" b="1" baseline="0">
                <a:solidFill>
                  <a:sysClr val="windowText" lastClr="000000"/>
                </a:solidFill>
              </a:rPr>
              <a:t> centralizētais eksāmens fizikā</a:t>
            </a:r>
            <a:endParaRPr lang="lv-LV"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2018./2019.m.g.-12   , vid.rezult. 14,17</c:v>
                </c:pt>
              </c:strCache>
            </c:strRef>
          </c:tx>
          <c:spPr>
            <a:solidFill>
              <a:schemeClr val="accent1"/>
            </a:solidFill>
            <a:ln>
              <a:noFill/>
            </a:ln>
            <a:effectLst/>
          </c:spPr>
          <c:invertIfNegative val="0"/>
          <c:cat>
            <c:strRef>
              <c:f>Lapa1!$A$2:$A$6</c:f>
              <c:strCache>
                <c:ptCount val="5"/>
                <c:pt idx="0">
                  <c:v>5-10%</c:v>
                </c:pt>
                <c:pt idx="1">
                  <c:v>11-20%</c:v>
                </c:pt>
                <c:pt idx="2">
                  <c:v>21-30%</c:v>
                </c:pt>
                <c:pt idx="3">
                  <c:v>31-40%</c:v>
                </c:pt>
                <c:pt idx="4">
                  <c:v>42%</c:v>
                </c:pt>
              </c:strCache>
            </c:strRef>
          </c:cat>
          <c:val>
            <c:numRef>
              <c:f>Lapa1!$B$2:$B$6</c:f>
              <c:numCache>
                <c:formatCode>General</c:formatCode>
                <c:ptCount val="5"/>
                <c:pt idx="0">
                  <c:v>2</c:v>
                </c:pt>
                <c:pt idx="1">
                  <c:v>10</c:v>
                </c:pt>
              </c:numCache>
            </c:numRef>
          </c:val>
        </c:ser>
        <c:ser>
          <c:idx val="1"/>
          <c:order val="1"/>
          <c:tx>
            <c:strRef>
              <c:f>Lapa1!$C$1</c:f>
              <c:strCache>
                <c:ptCount val="1"/>
                <c:pt idx="0">
                  <c:v>2019./2020.m.g.-10   , vid.rezult. 15,45</c:v>
                </c:pt>
              </c:strCache>
            </c:strRef>
          </c:tx>
          <c:spPr>
            <a:solidFill>
              <a:schemeClr val="accent2"/>
            </a:solidFill>
            <a:ln>
              <a:noFill/>
            </a:ln>
            <a:effectLst/>
          </c:spPr>
          <c:invertIfNegative val="0"/>
          <c:cat>
            <c:strRef>
              <c:f>Lapa1!$A$2:$A$6</c:f>
              <c:strCache>
                <c:ptCount val="5"/>
                <c:pt idx="0">
                  <c:v>5-10%</c:v>
                </c:pt>
                <c:pt idx="1">
                  <c:v>11-20%</c:v>
                </c:pt>
                <c:pt idx="2">
                  <c:v>21-30%</c:v>
                </c:pt>
                <c:pt idx="3">
                  <c:v>31-40%</c:v>
                </c:pt>
                <c:pt idx="4">
                  <c:v>42%</c:v>
                </c:pt>
              </c:strCache>
            </c:strRef>
          </c:cat>
          <c:val>
            <c:numRef>
              <c:f>Lapa1!$C$2:$C$6</c:f>
              <c:numCache>
                <c:formatCode>General</c:formatCode>
                <c:ptCount val="5"/>
                <c:pt idx="0">
                  <c:v>2</c:v>
                </c:pt>
                <c:pt idx="1">
                  <c:v>3</c:v>
                </c:pt>
                <c:pt idx="4">
                  <c:v>1</c:v>
                </c:pt>
              </c:numCache>
            </c:numRef>
          </c:val>
        </c:ser>
        <c:dLbls>
          <c:showLegendKey val="0"/>
          <c:showVal val="0"/>
          <c:showCatName val="0"/>
          <c:showSerName val="0"/>
          <c:showPercent val="0"/>
          <c:showBubbleSize val="0"/>
        </c:dLbls>
        <c:gapWidth val="219"/>
        <c:overlap val="-27"/>
        <c:axId val="442092984"/>
        <c:axId val="442093376"/>
      </c:barChart>
      <c:catAx>
        <c:axId val="44209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2093376"/>
        <c:crosses val="autoZero"/>
        <c:auto val="1"/>
        <c:lblAlgn val="ctr"/>
        <c:lblOffset val="100"/>
        <c:noMultiLvlLbl val="0"/>
      </c:catAx>
      <c:valAx>
        <c:axId val="44209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209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Parzine</dc:creator>
  <cp:keywords/>
  <dc:description/>
  <cp:lastModifiedBy>3aud2dat</cp:lastModifiedBy>
  <cp:revision>2</cp:revision>
  <dcterms:created xsi:type="dcterms:W3CDTF">2020-11-02T10:01:00Z</dcterms:created>
  <dcterms:modified xsi:type="dcterms:W3CDTF">2020-11-02T10:01:00Z</dcterms:modified>
</cp:coreProperties>
</file>