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A0" w:rsidRDefault="005552A0" w:rsidP="005552A0">
      <w:pPr>
        <w:tabs>
          <w:tab w:val="left" w:pos="7873"/>
        </w:tabs>
        <w:jc w:val="center"/>
        <w:rPr>
          <w:b/>
          <w:sz w:val="56"/>
          <w:szCs w:val="56"/>
        </w:rPr>
      </w:pPr>
      <w:bookmarkStart w:id="0" w:name="_GoBack"/>
      <w:bookmarkEnd w:id="0"/>
      <w:r w:rsidRPr="00341C73">
        <w:rPr>
          <w:b/>
          <w:sz w:val="56"/>
          <w:szCs w:val="56"/>
        </w:rPr>
        <w:t>Kuldīgas Tehnoloģiju un tūrisma tehnikuma</w:t>
      </w:r>
    </w:p>
    <w:p w:rsidR="005552A0" w:rsidRDefault="005552A0" w:rsidP="005552A0">
      <w:pPr>
        <w:tabs>
          <w:tab w:val="left" w:pos="7873"/>
        </w:tabs>
        <w:jc w:val="center"/>
        <w:rPr>
          <w:b/>
          <w:sz w:val="56"/>
          <w:szCs w:val="56"/>
        </w:rPr>
      </w:pPr>
    </w:p>
    <w:p w:rsidR="005552A0" w:rsidRDefault="005552A0" w:rsidP="005552A0">
      <w:pPr>
        <w:tabs>
          <w:tab w:val="left" w:pos="7873"/>
        </w:tabs>
        <w:jc w:val="center"/>
        <w:rPr>
          <w:b/>
          <w:sz w:val="56"/>
          <w:szCs w:val="56"/>
        </w:rPr>
      </w:pPr>
    </w:p>
    <w:p w:rsidR="005552A0" w:rsidRPr="00341C73" w:rsidRDefault="005552A0" w:rsidP="005552A0">
      <w:pPr>
        <w:tabs>
          <w:tab w:val="left" w:pos="7873"/>
        </w:tabs>
        <w:jc w:val="center"/>
        <w:rPr>
          <w:b/>
          <w:sz w:val="56"/>
          <w:szCs w:val="56"/>
        </w:rPr>
      </w:pPr>
    </w:p>
    <w:p w:rsidR="005552A0" w:rsidRDefault="009F4F8A" w:rsidP="005552A0">
      <w:pPr>
        <w:tabs>
          <w:tab w:val="left" w:pos="7873"/>
        </w:tabs>
        <w:jc w:val="center"/>
        <w:rPr>
          <w:b/>
          <w:sz w:val="56"/>
          <w:szCs w:val="56"/>
        </w:rPr>
      </w:pPr>
      <w:r>
        <w:rPr>
          <w:b/>
          <w:sz w:val="56"/>
          <w:szCs w:val="56"/>
        </w:rPr>
        <w:t>2020./2021</w:t>
      </w:r>
      <w:r w:rsidR="005552A0" w:rsidRPr="00341C73">
        <w:rPr>
          <w:b/>
          <w:sz w:val="56"/>
          <w:szCs w:val="56"/>
        </w:rPr>
        <w:t>.gada VISC centralizēto eksāmenu statistika</w:t>
      </w:r>
      <w:r w:rsidR="005552A0">
        <w:rPr>
          <w:b/>
          <w:sz w:val="56"/>
          <w:szCs w:val="56"/>
        </w:rPr>
        <w:t xml:space="preserve"> salīdzinājumā </w:t>
      </w:r>
    </w:p>
    <w:p w:rsidR="005552A0" w:rsidRDefault="005552A0" w:rsidP="005552A0">
      <w:pPr>
        <w:tabs>
          <w:tab w:val="left" w:pos="7873"/>
        </w:tabs>
        <w:jc w:val="center"/>
        <w:rPr>
          <w:b/>
          <w:sz w:val="56"/>
          <w:szCs w:val="56"/>
        </w:rPr>
      </w:pPr>
    </w:p>
    <w:p w:rsidR="005552A0" w:rsidRDefault="005552A0" w:rsidP="005552A0">
      <w:pPr>
        <w:tabs>
          <w:tab w:val="left" w:pos="7873"/>
        </w:tabs>
        <w:jc w:val="center"/>
        <w:rPr>
          <w:b/>
          <w:sz w:val="56"/>
          <w:szCs w:val="56"/>
        </w:rPr>
      </w:pPr>
      <w:r>
        <w:rPr>
          <w:b/>
          <w:sz w:val="56"/>
          <w:szCs w:val="56"/>
        </w:rPr>
        <w:t xml:space="preserve">ar  </w:t>
      </w:r>
    </w:p>
    <w:p w:rsidR="005552A0" w:rsidRDefault="002D78B0" w:rsidP="002D78B0">
      <w:pPr>
        <w:tabs>
          <w:tab w:val="left" w:pos="7873"/>
        </w:tabs>
        <w:jc w:val="center"/>
        <w:rPr>
          <w:b/>
          <w:sz w:val="56"/>
          <w:szCs w:val="56"/>
        </w:rPr>
      </w:pPr>
      <w:r>
        <w:rPr>
          <w:b/>
          <w:sz w:val="56"/>
          <w:szCs w:val="56"/>
        </w:rPr>
        <w:t>2018./2019</w:t>
      </w:r>
      <w:r w:rsidR="005552A0">
        <w:rPr>
          <w:b/>
          <w:sz w:val="56"/>
          <w:szCs w:val="56"/>
        </w:rPr>
        <w:t>.m.g</w:t>
      </w:r>
      <w:r>
        <w:rPr>
          <w:b/>
          <w:sz w:val="56"/>
          <w:szCs w:val="56"/>
        </w:rPr>
        <w:t>.</w:t>
      </w:r>
      <w:r w:rsidR="009F4F8A">
        <w:rPr>
          <w:b/>
          <w:sz w:val="56"/>
          <w:szCs w:val="56"/>
        </w:rPr>
        <w:t>,</w:t>
      </w:r>
    </w:p>
    <w:p w:rsidR="009F4F8A" w:rsidRPr="00341C73" w:rsidRDefault="009F4F8A" w:rsidP="002D78B0">
      <w:pPr>
        <w:tabs>
          <w:tab w:val="left" w:pos="7873"/>
        </w:tabs>
        <w:jc w:val="center"/>
        <w:rPr>
          <w:b/>
          <w:sz w:val="56"/>
          <w:szCs w:val="56"/>
        </w:rPr>
      </w:pPr>
      <w:r>
        <w:rPr>
          <w:b/>
          <w:sz w:val="56"/>
          <w:szCs w:val="56"/>
        </w:rPr>
        <w:t>2019./2020.m.g.</w:t>
      </w:r>
    </w:p>
    <w:p w:rsidR="00494AC7" w:rsidRDefault="00494AC7"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933564" w:rsidRDefault="00933564" w:rsidP="00494AC7"/>
    <w:p w:rsidR="00884277" w:rsidRDefault="00884277" w:rsidP="00494AC7"/>
    <w:p w:rsidR="00884277" w:rsidRDefault="00884277" w:rsidP="00494AC7"/>
    <w:p w:rsidR="00884277" w:rsidRDefault="00884277" w:rsidP="00494AC7"/>
    <w:p w:rsidR="00884277" w:rsidRDefault="00884277" w:rsidP="00494AC7"/>
    <w:p w:rsidR="008D3E40" w:rsidRDefault="008D3E40" w:rsidP="00871259">
      <w:pPr>
        <w:spacing w:line="360" w:lineRule="auto"/>
        <w:rPr>
          <w:i/>
        </w:rPr>
      </w:pPr>
      <w:r>
        <w:rPr>
          <w:i/>
        </w:rPr>
        <w:t xml:space="preserve"> </w:t>
      </w:r>
      <w:r w:rsidR="00933564" w:rsidRPr="000820DB">
        <w:rPr>
          <w:i/>
        </w:rPr>
        <w:t>Centralizēto eksāmenu rezultāti, neraugoties uz situāciju</w:t>
      </w:r>
      <w:r w:rsidR="003A7701">
        <w:rPr>
          <w:i/>
        </w:rPr>
        <w:t>, ka lielākā daļa mācību procesa notika attālināti,</w:t>
      </w:r>
      <w:r w:rsidR="00933564" w:rsidRPr="000820DB">
        <w:rPr>
          <w:i/>
        </w:rPr>
        <w:t xml:space="preserve"> ir labāki kā iepriekšējos </w:t>
      </w:r>
      <w:r>
        <w:rPr>
          <w:i/>
        </w:rPr>
        <w:t xml:space="preserve">mācību </w:t>
      </w:r>
      <w:r w:rsidR="00933564" w:rsidRPr="000820DB">
        <w:rPr>
          <w:i/>
        </w:rPr>
        <w:t>gados</w:t>
      </w:r>
      <w:r w:rsidR="003A7701">
        <w:rPr>
          <w:i/>
        </w:rPr>
        <w:t>.</w:t>
      </w:r>
      <w:r>
        <w:rPr>
          <w:i/>
        </w:rPr>
        <w:t xml:space="preserve"> Diemžēl 6 jaunieši nav sasnieguši 5% slieksni un nav nokārtojuši matemātikas eksāmenu</w:t>
      </w:r>
      <w:r w:rsidR="00B04447">
        <w:rPr>
          <w:i/>
        </w:rPr>
        <w:t>.</w:t>
      </w:r>
    </w:p>
    <w:p w:rsidR="00871259" w:rsidRDefault="00871259" w:rsidP="00871259">
      <w:pPr>
        <w:spacing w:line="360" w:lineRule="auto"/>
        <w:rPr>
          <w:i/>
        </w:rPr>
      </w:pPr>
    </w:p>
    <w:p w:rsidR="00871259" w:rsidRDefault="00871259" w:rsidP="00871259">
      <w:pPr>
        <w:spacing w:line="360" w:lineRule="auto"/>
        <w:rPr>
          <w:i/>
        </w:rPr>
      </w:pPr>
      <w:r>
        <w:rPr>
          <w:i/>
        </w:rPr>
        <w:t xml:space="preserve">Eksāmenu rezultāti parāda arī faktiskās zināšanas. Ir audzēkņi, kuru darbs nodarbību laikā ir bijis neregulārs un viņi saņēmuši zemāku vērtējumu nekā uzrādījuši centralizētajos eksāmenos, pierādot, ka viņiem ir labas </w:t>
      </w:r>
      <w:proofErr w:type="spellStart"/>
      <w:r>
        <w:rPr>
          <w:i/>
        </w:rPr>
        <w:t>pamatzināšanas</w:t>
      </w:r>
      <w:proofErr w:type="spellEnd"/>
      <w:r>
        <w:rPr>
          <w:i/>
        </w:rPr>
        <w:t>, bet tās 3 gados nav papildinātas. Otra galējība ir labi rezultāti ikdienas vērtējumos, īpaši attālinātā mācību procesa laikā, bet vāji rezultāti eksāmenos, kas pierāda faktu, ka attālinātā mācību procesa laikā audzēkņi saņēmuši atbalstu uzdevumu izpildē.</w:t>
      </w:r>
    </w:p>
    <w:p w:rsidR="00871259" w:rsidRDefault="00871259" w:rsidP="00871259">
      <w:pPr>
        <w:spacing w:line="360" w:lineRule="auto"/>
        <w:rPr>
          <w:i/>
        </w:rPr>
      </w:pPr>
    </w:p>
    <w:p w:rsidR="00871259" w:rsidRDefault="00871259" w:rsidP="00871259">
      <w:pPr>
        <w:spacing w:line="360" w:lineRule="auto"/>
        <w:rPr>
          <w:i/>
        </w:rPr>
      </w:pPr>
      <w:r>
        <w:rPr>
          <w:i/>
        </w:rPr>
        <w:t xml:space="preserve">Ir stabila tendence, ka uzlabojas izglītojamo zināšanas angļu valodā. Salīdzinoši vairāk audzēkņu ir sasnieguši B2 līmeni. Labākais rezultāts angļu valodas eksāmenā -87%, bet ir arī katastrofāli zems rezultāts- 7%. Satraukumu rada domas par eksāmenu pēc 2 gadiem, jo tikai trešā daļa audzēkņu sasniedz B2 līmeni, kas pēc diviem gadiem būs obligāti sasniedzamais rezultāts. </w:t>
      </w:r>
    </w:p>
    <w:p w:rsidR="00871259" w:rsidRDefault="00871259" w:rsidP="00871259">
      <w:pPr>
        <w:spacing w:line="360" w:lineRule="auto"/>
        <w:rPr>
          <w:i/>
        </w:rPr>
      </w:pPr>
    </w:p>
    <w:p w:rsidR="00D85971" w:rsidRDefault="00D85971" w:rsidP="00494AC7">
      <w:pPr>
        <w:rPr>
          <w:i/>
        </w:rPr>
      </w:pPr>
    </w:p>
    <w:p w:rsidR="00494AC7" w:rsidRDefault="00494AC7" w:rsidP="00494AC7">
      <w:r w:rsidRPr="00BD1C8F">
        <w:rPr>
          <w:noProof/>
          <w:lang w:val="en-US" w:eastAsia="en-US"/>
        </w:rPr>
        <w:drawing>
          <wp:inline distT="0" distB="0" distL="0" distR="0">
            <wp:extent cx="5419725" cy="3067050"/>
            <wp:effectExtent l="0" t="0" r="9525" b="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84277" w:rsidRDefault="00884277" w:rsidP="00494AC7"/>
    <w:p w:rsidR="00884277" w:rsidRDefault="00884277" w:rsidP="00494AC7"/>
    <w:p w:rsidR="00884277" w:rsidRDefault="00884277" w:rsidP="00494AC7"/>
    <w:p w:rsidR="00884277" w:rsidRDefault="00884277" w:rsidP="00494AC7"/>
    <w:p w:rsidR="00884277" w:rsidRDefault="00884277" w:rsidP="00494AC7"/>
    <w:p w:rsidR="00884277" w:rsidRDefault="00884277" w:rsidP="00494AC7"/>
    <w:p w:rsidR="00871259" w:rsidRDefault="00871259" w:rsidP="00871259">
      <w:pPr>
        <w:spacing w:line="360" w:lineRule="auto"/>
        <w:rPr>
          <w:i/>
        </w:rPr>
      </w:pPr>
      <w:r>
        <w:rPr>
          <w:i/>
        </w:rPr>
        <w:t xml:space="preserve">  Latviešu valodā labākais rezultāts- 80%, sliktākais-7%. Pedagogi šos rezultātus raksturo kā atbilstošus audzēkņu zināšanu un darba novērtējumam. </w:t>
      </w:r>
    </w:p>
    <w:p w:rsidR="00884277" w:rsidRPr="00C06D70" w:rsidRDefault="00884277" w:rsidP="00494AC7"/>
    <w:p w:rsidR="00D56BAC" w:rsidRDefault="004B3C46" w:rsidP="00513DC8">
      <w:r w:rsidRPr="00FB7CDC">
        <w:rPr>
          <w:noProof/>
          <w:lang w:val="en-US" w:eastAsia="en-US"/>
        </w:rPr>
        <w:drawing>
          <wp:inline distT="0" distB="0" distL="0" distR="0">
            <wp:extent cx="5781675" cy="3371850"/>
            <wp:effectExtent l="0" t="0" r="9525"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513DC8">
        <w:t xml:space="preserve"> </w:t>
      </w:r>
    </w:p>
    <w:p w:rsidR="00871259" w:rsidRDefault="00CC2659" w:rsidP="00871259">
      <w:pPr>
        <w:spacing w:line="360" w:lineRule="auto"/>
        <w:rPr>
          <w:i/>
        </w:rPr>
      </w:pPr>
      <w:r w:rsidRPr="004A7E40">
        <w:t xml:space="preserve"> </w:t>
      </w:r>
    </w:p>
    <w:p w:rsidR="00871259" w:rsidRDefault="00871259" w:rsidP="00871259">
      <w:pPr>
        <w:spacing w:line="360" w:lineRule="auto"/>
        <w:rPr>
          <w:i/>
        </w:rPr>
      </w:pPr>
      <w:r>
        <w:rPr>
          <w:i/>
        </w:rPr>
        <w:t xml:space="preserve">  Matemātikā labākais rezultāts 70%, sliktākais- 6 %. 6 audzēkņi eksāmenā nesasniedza 5 % barjeru, pedagogi šādu rezultātu skaidro kā audzēkņu neregulāru darbu, pašpārliecinātību. Viens audzēknis( bijis atbrīvojums no 9.klases eksāmeniem) eksāmenā stresa dēļ nav varējis koncentrēties un jau pēcpusdienā pēc eksāmena jautājis skolotājai, ko iesākt, ja nenokārto eksāmenu.</w:t>
      </w:r>
    </w:p>
    <w:p w:rsidR="00871259" w:rsidRDefault="00871259" w:rsidP="00871259">
      <w:pPr>
        <w:spacing w:line="360" w:lineRule="auto"/>
        <w:rPr>
          <w:i/>
        </w:rPr>
      </w:pPr>
      <w:r>
        <w:rPr>
          <w:i/>
        </w:rPr>
        <w:t>Viens audzēknis matemātikas eksāmenu kārtoja atkārtoti. Pateicoties regulārai saziņai- konsultācijām ar pedagogu un papildnodarbībām projektā “Pumpurs” audzēknis sasniedza 9%.</w:t>
      </w:r>
    </w:p>
    <w:p w:rsidR="00513DC8" w:rsidRDefault="00513DC8" w:rsidP="00CC2659"/>
    <w:p w:rsidR="00513DC8" w:rsidRDefault="00513DC8" w:rsidP="00CC2659"/>
    <w:p w:rsidR="00513DC8" w:rsidRDefault="00513DC8" w:rsidP="00CC2659"/>
    <w:p w:rsidR="00CC2659" w:rsidRDefault="00CC2659" w:rsidP="00CC2659">
      <w:r w:rsidRPr="00BD1C8F">
        <w:rPr>
          <w:noProof/>
          <w:lang w:val="en-US" w:eastAsia="en-US"/>
        </w:rPr>
        <w:lastRenderedPageBreak/>
        <w:drawing>
          <wp:inline distT="0" distB="0" distL="0" distR="0">
            <wp:extent cx="5534025" cy="3105150"/>
            <wp:effectExtent l="0" t="0" r="9525" b="0"/>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1259" w:rsidRDefault="00871259" w:rsidP="00871259">
      <w:pPr>
        <w:spacing w:line="360" w:lineRule="auto"/>
        <w:rPr>
          <w:i/>
        </w:rPr>
      </w:pPr>
      <w:r>
        <w:rPr>
          <w:i/>
        </w:rPr>
        <w:t xml:space="preserve">Nedaudz pasliktinājušies </w:t>
      </w:r>
      <w:r w:rsidRPr="000820DB">
        <w:rPr>
          <w:i/>
        </w:rPr>
        <w:t xml:space="preserve"> </w:t>
      </w:r>
      <w:r>
        <w:rPr>
          <w:i/>
        </w:rPr>
        <w:t>rezultāti Latvijas un pasaules vēstures eksāmenā, to varētu izskaidrot arī ar situāciju, ka vēstures eksāmenam tika noteikts izvēles statuss un arī, ka vairāki jaunieši eksāmenam gatavojās neregulāri un attieksme bija ļoti pavirša, pie tam viņi nepiedalījās arī attālinātajās eksāmena konsultācijās.</w:t>
      </w:r>
    </w:p>
    <w:p w:rsidR="00494AC7" w:rsidRDefault="00494AC7" w:rsidP="009C12E8">
      <w:pPr>
        <w:pStyle w:val="Virsraksts5"/>
      </w:pPr>
      <w:r w:rsidRPr="00BD1C8F">
        <w:rPr>
          <w:noProof/>
          <w:lang w:val="en-US" w:eastAsia="en-US"/>
        </w:rPr>
        <w:drawing>
          <wp:inline distT="0" distB="0" distL="0" distR="0">
            <wp:extent cx="5334000" cy="2886075"/>
            <wp:effectExtent l="0" t="0" r="0" b="9525"/>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5A2B" w:rsidRDefault="00CB5A2B" w:rsidP="00494AC7"/>
    <w:p w:rsidR="00513DC8" w:rsidRPr="009C12E8" w:rsidRDefault="00513DC8" w:rsidP="00494AC7">
      <w:pPr>
        <w:rPr>
          <w:i/>
        </w:rPr>
      </w:pPr>
    </w:p>
    <w:p w:rsidR="00CB5A2B" w:rsidRPr="009C12E8" w:rsidRDefault="00631914" w:rsidP="00494AC7">
      <w:pPr>
        <w:rPr>
          <w:i/>
        </w:rPr>
      </w:pPr>
      <w:r w:rsidRPr="009C12E8">
        <w:rPr>
          <w:i/>
        </w:rPr>
        <w:t>Centralizēto eksāmenu</w:t>
      </w:r>
      <w:r w:rsidR="00CB5A2B" w:rsidRPr="009C12E8">
        <w:rPr>
          <w:i/>
        </w:rPr>
        <w:t xml:space="preserve"> fizikā</w:t>
      </w:r>
      <w:r w:rsidRPr="009C12E8">
        <w:rPr>
          <w:i/>
        </w:rPr>
        <w:t xml:space="preserve"> </w:t>
      </w:r>
      <w:r w:rsidR="00513DC8" w:rsidRPr="009C12E8">
        <w:rPr>
          <w:i/>
        </w:rPr>
        <w:t>2020./2021.m.g. audzēkņi neizvēlējās kārtot, bet, ja būs klātienes nodarbības, fizikas skolotāja piedāvās audzēkņiem papildnodarbības, lai audzēkņi, kuriem ir potenciālas iespējas studēt, varētu kārtot fizikas eksāmenu.</w:t>
      </w:r>
    </w:p>
    <w:p w:rsidR="006106C5" w:rsidRDefault="00CB5A2B">
      <w:r>
        <w:rPr>
          <w:noProof/>
          <w:lang w:val="en-US" w:eastAsia="en-US"/>
        </w:rPr>
        <w:lastRenderedPageBreak/>
        <w:drawing>
          <wp:inline distT="0" distB="0" distL="0" distR="0">
            <wp:extent cx="5274310" cy="3076575"/>
            <wp:effectExtent l="0" t="0" r="254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6106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C7"/>
    <w:rsid w:val="00050345"/>
    <w:rsid w:val="000820DB"/>
    <w:rsid w:val="00092967"/>
    <w:rsid w:val="00130299"/>
    <w:rsid w:val="00181796"/>
    <w:rsid w:val="00183A9E"/>
    <w:rsid w:val="002D78B0"/>
    <w:rsid w:val="00307553"/>
    <w:rsid w:val="003363F2"/>
    <w:rsid w:val="003960D3"/>
    <w:rsid w:val="003A7701"/>
    <w:rsid w:val="004814AB"/>
    <w:rsid w:val="00494AC7"/>
    <w:rsid w:val="004A33BF"/>
    <w:rsid w:val="004B3C46"/>
    <w:rsid w:val="004D3D7E"/>
    <w:rsid w:val="00513DC8"/>
    <w:rsid w:val="005552A0"/>
    <w:rsid w:val="006106C5"/>
    <w:rsid w:val="00631914"/>
    <w:rsid w:val="006B7C63"/>
    <w:rsid w:val="006D252C"/>
    <w:rsid w:val="007205BB"/>
    <w:rsid w:val="00790A59"/>
    <w:rsid w:val="00833057"/>
    <w:rsid w:val="00871259"/>
    <w:rsid w:val="00871DCC"/>
    <w:rsid w:val="00884277"/>
    <w:rsid w:val="008D3E40"/>
    <w:rsid w:val="00933564"/>
    <w:rsid w:val="009A74CE"/>
    <w:rsid w:val="009C12E8"/>
    <w:rsid w:val="009F4F8A"/>
    <w:rsid w:val="00AE5AE7"/>
    <w:rsid w:val="00AF00DC"/>
    <w:rsid w:val="00AF27E3"/>
    <w:rsid w:val="00AF6BE8"/>
    <w:rsid w:val="00B04447"/>
    <w:rsid w:val="00B233DA"/>
    <w:rsid w:val="00B247A4"/>
    <w:rsid w:val="00B54ACD"/>
    <w:rsid w:val="00BC2C62"/>
    <w:rsid w:val="00BF6978"/>
    <w:rsid w:val="00C81A07"/>
    <w:rsid w:val="00C935AF"/>
    <w:rsid w:val="00CB5A2B"/>
    <w:rsid w:val="00CC2659"/>
    <w:rsid w:val="00CE3814"/>
    <w:rsid w:val="00D56BAC"/>
    <w:rsid w:val="00D85971"/>
    <w:rsid w:val="00DD490A"/>
    <w:rsid w:val="00E70CE2"/>
    <w:rsid w:val="00E772F0"/>
    <w:rsid w:val="00F47DE4"/>
    <w:rsid w:val="00FB7CDC"/>
    <w:rsid w:val="00FE3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B3CF-80D8-4929-B59E-AFF5640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4AC7"/>
    <w:pPr>
      <w:spacing w:after="0" w:line="240" w:lineRule="auto"/>
    </w:pPr>
    <w:rPr>
      <w:rFonts w:ascii="Times New Roman" w:eastAsia="Times New Roman" w:hAnsi="Times New Roman" w:cs="Times New Roman"/>
      <w:sz w:val="24"/>
      <w:szCs w:val="24"/>
      <w:lang w:eastAsia="lv-LV"/>
    </w:rPr>
  </w:style>
  <w:style w:type="paragraph" w:styleId="Virsraksts5">
    <w:name w:val="heading 5"/>
    <w:basedOn w:val="Parasts"/>
    <w:next w:val="Parasts"/>
    <w:link w:val="Virsraksts5Rakstz"/>
    <w:qFormat/>
    <w:rsid w:val="00494AC7"/>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494AC7"/>
    <w:rPr>
      <w:rFonts w:ascii="Times New Roman" w:eastAsia="Times New Roman" w:hAnsi="Times New Roman" w:cs="Times New Roman"/>
      <w:b/>
      <w:bCs/>
      <w:i/>
      <w:i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angļu valodā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Lapa1!$B$1</c:f>
              <c:strCache>
                <c:ptCount val="1"/>
                <c:pt idx="0">
                  <c:v>2018./2019.m.g.-53, vid.vērt.45,5%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Lapa1!$B$2:$B$10</c:f>
              <c:numCache>
                <c:formatCode>General</c:formatCode>
                <c:ptCount val="9"/>
                <c:pt idx="1">
                  <c:v>2</c:v>
                </c:pt>
                <c:pt idx="2">
                  <c:v>3</c:v>
                </c:pt>
                <c:pt idx="3">
                  <c:v>11</c:v>
                </c:pt>
                <c:pt idx="4">
                  <c:v>13</c:v>
                </c:pt>
                <c:pt idx="5">
                  <c:v>20</c:v>
                </c:pt>
                <c:pt idx="6">
                  <c:v>26</c:v>
                </c:pt>
                <c:pt idx="7">
                  <c:v>7</c:v>
                </c:pt>
                <c:pt idx="8">
                  <c:v>45.5</c:v>
                </c:pt>
              </c:numCache>
            </c:numRef>
          </c:val>
        </c:ser>
        <c:ser>
          <c:idx val="1"/>
          <c:order val="1"/>
          <c:tx>
            <c:strRef>
              <c:f>Lapa1!$C$1</c:f>
              <c:strCache>
                <c:ptCount val="1"/>
                <c:pt idx="0">
                  <c:v>2019.-2020.m.g.-59, vid.vērt.-52,76%</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Lapa1!$C$2:$C$10</c:f>
              <c:numCache>
                <c:formatCode>General</c:formatCode>
                <c:ptCount val="9"/>
                <c:pt idx="0">
                  <c:v>1</c:v>
                </c:pt>
                <c:pt idx="1">
                  <c:v>4</c:v>
                </c:pt>
                <c:pt idx="2">
                  <c:v>6</c:v>
                </c:pt>
                <c:pt idx="3">
                  <c:v>6</c:v>
                </c:pt>
                <c:pt idx="4">
                  <c:v>9</c:v>
                </c:pt>
                <c:pt idx="5">
                  <c:v>33</c:v>
                </c:pt>
                <c:pt idx="6">
                  <c:v>28</c:v>
                </c:pt>
                <c:pt idx="7">
                  <c:v>15</c:v>
                </c:pt>
                <c:pt idx="8">
                  <c:v>52.76</c:v>
                </c:pt>
              </c:numCache>
            </c:numRef>
          </c:val>
        </c:ser>
        <c:ser>
          <c:idx val="2"/>
          <c:order val="2"/>
          <c:tx>
            <c:strRef>
              <c:f>Lapa1!$D$1</c:f>
              <c:strCache>
                <c:ptCount val="1"/>
                <c:pt idx="0">
                  <c:v>2020./2021.m.g.- 58, vid.vērt. 56,31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Lapa1!$D$2:$D$10</c:f>
              <c:numCache>
                <c:formatCode>General</c:formatCode>
                <c:ptCount val="9"/>
                <c:pt idx="0">
                  <c:v>1</c:v>
                </c:pt>
                <c:pt idx="1">
                  <c:v>1</c:v>
                </c:pt>
                <c:pt idx="2">
                  <c:v>3</c:v>
                </c:pt>
                <c:pt idx="3">
                  <c:v>7</c:v>
                </c:pt>
                <c:pt idx="4">
                  <c:v>10</c:v>
                </c:pt>
                <c:pt idx="5">
                  <c:v>36</c:v>
                </c:pt>
                <c:pt idx="6">
                  <c:v>28</c:v>
                </c:pt>
                <c:pt idx="7">
                  <c:v>19</c:v>
                </c:pt>
                <c:pt idx="8">
                  <c:v>56.31</c:v>
                </c:pt>
              </c:numCache>
            </c:numRef>
          </c:val>
        </c:ser>
        <c:dLbls>
          <c:dLblPos val="outEnd"/>
          <c:showLegendKey val="0"/>
          <c:showVal val="1"/>
          <c:showCatName val="0"/>
          <c:showSerName val="0"/>
          <c:showPercent val="0"/>
          <c:showBubbleSize val="0"/>
        </c:dLbls>
        <c:gapWidth val="444"/>
        <c:overlap val="-90"/>
        <c:axId val="-1195574944"/>
        <c:axId val="-1195571680"/>
      </c:barChart>
      <c:catAx>
        <c:axId val="-1195574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195571680"/>
        <c:crosses val="autoZero"/>
        <c:auto val="1"/>
        <c:lblAlgn val="ctr"/>
        <c:lblOffset val="100"/>
        <c:noMultiLvlLbl val="0"/>
      </c:catAx>
      <c:valAx>
        <c:axId val="-1195571680"/>
        <c:scaling>
          <c:orientation val="minMax"/>
        </c:scaling>
        <c:delete val="1"/>
        <c:axPos val="l"/>
        <c:numFmt formatCode="General" sourceLinked="1"/>
        <c:majorTickMark val="none"/>
        <c:minorTickMark val="none"/>
        <c:tickLblPos val="nextTo"/>
        <c:crossAx val="-1195574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latviešu valodā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1"/>
          <c:order val="0"/>
          <c:tx>
            <c:strRef>
              <c:f>Lapa1!$B$1</c:f>
              <c:strCache>
                <c:ptCount val="1"/>
                <c:pt idx="0">
                  <c:v>2018./2019.m.g.-53, vid.vērt. 33,58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0</c:v>
                </c:pt>
                <c:pt idx="1">
                  <c:v>2</c:v>
                </c:pt>
                <c:pt idx="2">
                  <c:v>14</c:v>
                </c:pt>
                <c:pt idx="3">
                  <c:v>19</c:v>
                </c:pt>
                <c:pt idx="4">
                  <c:v>8</c:v>
                </c:pt>
                <c:pt idx="5">
                  <c:v>6</c:v>
                </c:pt>
                <c:pt idx="6">
                  <c:v>33.58</c:v>
                </c:pt>
              </c:numCache>
            </c:numRef>
          </c:val>
        </c:ser>
        <c:ser>
          <c:idx val="2"/>
          <c:order val="1"/>
          <c:tx>
            <c:strRef>
              <c:f>Lapa1!$C$1</c:f>
              <c:strCache>
                <c:ptCount val="1"/>
                <c:pt idx="0">
                  <c:v>2019./2020.m.g.-59, vid.vērt.42,95</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1">
                  <c:v>4</c:v>
                </c:pt>
                <c:pt idx="2">
                  <c:v>9</c:v>
                </c:pt>
                <c:pt idx="3">
                  <c:v>16</c:v>
                </c:pt>
                <c:pt idx="4">
                  <c:v>10</c:v>
                </c:pt>
                <c:pt idx="5">
                  <c:v>20</c:v>
                </c:pt>
                <c:pt idx="6">
                  <c:v>42.95</c:v>
                </c:pt>
              </c:numCache>
            </c:numRef>
          </c:val>
        </c:ser>
        <c:ser>
          <c:idx val="0"/>
          <c:order val="2"/>
          <c:tx>
            <c:strRef>
              <c:f>Lapa1!$D$1</c:f>
              <c:strCache>
                <c:ptCount val="1"/>
                <c:pt idx="0">
                  <c:v>2020./2021.m.g.-58, vid.vērt.46,10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c:v>
                </c:pt>
                <c:pt idx="1">
                  <c:v>0</c:v>
                </c:pt>
                <c:pt idx="2">
                  <c:v>4</c:v>
                </c:pt>
                <c:pt idx="3">
                  <c:v>22</c:v>
                </c:pt>
                <c:pt idx="4">
                  <c:v>10</c:v>
                </c:pt>
                <c:pt idx="5">
                  <c:v>21</c:v>
                </c:pt>
                <c:pt idx="6">
                  <c:v>46.1</c:v>
                </c:pt>
              </c:numCache>
            </c:numRef>
          </c:val>
        </c:ser>
        <c:dLbls>
          <c:dLblPos val="outEnd"/>
          <c:showLegendKey val="0"/>
          <c:showVal val="1"/>
          <c:showCatName val="0"/>
          <c:showSerName val="0"/>
          <c:showPercent val="0"/>
          <c:showBubbleSize val="0"/>
        </c:dLbls>
        <c:gapWidth val="444"/>
        <c:overlap val="-90"/>
        <c:axId val="-1195578208"/>
        <c:axId val="-1195577664"/>
      </c:barChart>
      <c:catAx>
        <c:axId val="-119557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195577664"/>
        <c:crosses val="autoZero"/>
        <c:auto val="1"/>
        <c:lblAlgn val="ctr"/>
        <c:lblOffset val="100"/>
        <c:noMultiLvlLbl val="0"/>
      </c:catAx>
      <c:valAx>
        <c:axId val="-1195577664"/>
        <c:scaling>
          <c:orientation val="minMax"/>
        </c:scaling>
        <c:delete val="1"/>
        <c:axPos val="l"/>
        <c:numFmt formatCode="General" sourceLinked="1"/>
        <c:majorTickMark val="none"/>
        <c:minorTickMark val="none"/>
        <c:tickLblPos val="nextTo"/>
        <c:crossAx val="-1195578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t>VISC centralizētais eksāmens matemātikā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2"/>
          <c:order val="0"/>
          <c:tx>
            <c:strRef>
              <c:f>Lapa1!$B$1</c:f>
              <c:strCache>
                <c:ptCount val="1"/>
                <c:pt idx="0">
                  <c:v>2018./2019.m.g.-54,  vid.rezult. 22,32%</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9</c:v>
                </c:pt>
                <c:pt idx="1">
                  <c:v>30</c:v>
                </c:pt>
                <c:pt idx="2">
                  <c:v>8</c:v>
                </c:pt>
                <c:pt idx="3">
                  <c:v>3</c:v>
                </c:pt>
                <c:pt idx="6">
                  <c:v>22.32</c:v>
                </c:pt>
              </c:numCache>
            </c:numRef>
          </c:val>
        </c:ser>
        <c:ser>
          <c:idx val="3"/>
          <c:order val="1"/>
          <c:tx>
            <c:strRef>
              <c:f>Lapa1!$C$1</c:f>
              <c:strCache>
                <c:ptCount val="1"/>
                <c:pt idx="0">
                  <c:v>2019./2020.m.g.-59, 1 nenokārtoja, vid.vērt.-16,19 %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19</c:v>
                </c:pt>
                <c:pt idx="1">
                  <c:v>24</c:v>
                </c:pt>
                <c:pt idx="2">
                  <c:v>13</c:v>
                </c:pt>
                <c:pt idx="3">
                  <c:v>1</c:v>
                </c:pt>
                <c:pt idx="4">
                  <c:v>2</c:v>
                </c:pt>
                <c:pt idx="6">
                  <c:v>16.190000000000001</c:v>
                </c:pt>
              </c:numCache>
            </c:numRef>
          </c:val>
        </c:ser>
        <c:ser>
          <c:idx val="0"/>
          <c:order val="2"/>
          <c:tx>
            <c:strRef>
              <c:f>Lapa1!$D$1</c:f>
              <c:strCache>
                <c:ptCount val="1"/>
                <c:pt idx="0">
                  <c:v>2020./2021.m.g.-69, 6 nenokārtoja, vid.vērt. 16,27%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15</c:v>
                </c:pt>
                <c:pt idx="1">
                  <c:v>16</c:v>
                </c:pt>
                <c:pt idx="2">
                  <c:v>18</c:v>
                </c:pt>
                <c:pt idx="3">
                  <c:v>2</c:v>
                </c:pt>
                <c:pt idx="4">
                  <c:v>1</c:v>
                </c:pt>
                <c:pt idx="5">
                  <c:v>1</c:v>
                </c:pt>
                <c:pt idx="6">
                  <c:v>16.27</c:v>
                </c:pt>
              </c:numCache>
            </c:numRef>
          </c:val>
        </c:ser>
        <c:dLbls>
          <c:dLblPos val="outEnd"/>
          <c:showLegendKey val="0"/>
          <c:showVal val="1"/>
          <c:showCatName val="0"/>
          <c:showSerName val="0"/>
          <c:showPercent val="0"/>
          <c:showBubbleSize val="0"/>
        </c:dLbls>
        <c:gapWidth val="444"/>
        <c:overlap val="-90"/>
        <c:axId val="-1195576576"/>
        <c:axId val="-1195576032"/>
      </c:barChart>
      <c:catAx>
        <c:axId val="-1195576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195576032"/>
        <c:crosses val="autoZero"/>
        <c:auto val="1"/>
        <c:lblAlgn val="ctr"/>
        <c:lblOffset val="100"/>
        <c:noMultiLvlLbl val="0"/>
      </c:catAx>
      <c:valAx>
        <c:axId val="-1195576032"/>
        <c:scaling>
          <c:orientation val="minMax"/>
        </c:scaling>
        <c:delete val="1"/>
        <c:axPos val="l"/>
        <c:numFmt formatCode="General" sourceLinked="1"/>
        <c:majorTickMark val="none"/>
        <c:minorTickMark val="none"/>
        <c:tickLblPos val="nextTo"/>
        <c:crossAx val="-1195576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Latvijas un pasaules vēsturē</a:t>
            </a:r>
          </a:p>
        </c:rich>
      </c:tx>
      <c:overlay val="0"/>
      <c:spPr>
        <a:noFill/>
        <a:ln>
          <a:noFill/>
        </a:ln>
        <a:effectLst/>
      </c:spPr>
      <c:txPr>
        <a:bodyPr rot="0" spcFirstLastPara="1" vertOverflow="ellipsis" vert="horz" wrap="square" anchor="ctr" anchorCtr="1"/>
        <a:lstStyle/>
        <a:p>
          <a:pPr algn="ctr">
            <a:defRPr sz="1600" b="1" i="0" u="none" strike="noStrike" kern="1200" cap="none" spc="120" normalizeH="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Lapa1!$B$1</c:f>
              <c:strCache>
                <c:ptCount val="1"/>
                <c:pt idx="0">
                  <c:v>2018./2019.m.g.-62, vid.rezult.- 35,8%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Lapa1!$B$2:$B$9</c:f>
              <c:numCache>
                <c:formatCode>General</c:formatCode>
                <c:ptCount val="8"/>
                <c:pt idx="0">
                  <c:v>0</c:v>
                </c:pt>
                <c:pt idx="1">
                  <c:v>5</c:v>
                </c:pt>
                <c:pt idx="2">
                  <c:v>9</c:v>
                </c:pt>
                <c:pt idx="3">
                  <c:v>19</c:v>
                </c:pt>
                <c:pt idx="4">
                  <c:v>8</c:v>
                </c:pt>
                <c:pt idx="5">
                  <c:v>5</c:v>
                </c:pt>
                <c:pt idx="6">
                  <c:v>3</c:v>
                </c:pt>
                <c:pt idx="7">
                  <c:v>35.799999999999997</c:v>
                </c:pt>
              </c:numCache>
            </c:numRef>
          </c:val>
        </c:ser>
        <c:ser>
          <c:idx val="1"/>
          <c:order val="1"/>
          <c:tx>
            <c:strRef>
              <c:f>Lapa1!$C$1</c:f>
              <c:strCache>
                <c:ptCount val="1"/>
                <c:pt idx="0">
                  <c:v>2019./2020.m.g.-57, vid.vērt. 37,84%</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Lapa1!$C$2:$C$9</c:f>
              <c:numCache>
                <c:formatCode>General</c:formatCode>
                <c:ptCount val="8"/>
                <c:pt idx="0">
                  <c:v>0</c:v>
                </c:pt>
                <c:pt idx="1">
                  <c:v>4</c:v>
                </c:pt>
                <c:pt idx="2">
                  <c:v>14</c:v>
                </c:pt>
                <c:pt idx="3">
                  <c:v>17</c:v>
                </c:pt>
                <c:pt idx="4">
                  <c:v>13</c:v>
                </c:pt>
                <c:pt idx="5">
                  <c:v>7</c:v>
                </c:pt>
                <c:pt idx="6">
                  <c:v>2</c:v>
                </c:pt>
                <c:pt idx="7">
                  <c:v>37.840000000000003</c:v>
                </c:pt>
              </c:numCache>
            </c:numRef>
          </c:val>
        </c:ser>
        <c:ser>
          <c:idx val="2"/>
          <c:order val="2"/>
          <c:tx>
            <c:strRef>
              <c:f>Lapa1!$D$1</c:f>
              <c:strCache>
                <c:ptCount val="1"/>
                <c:pt idx="0">
                  <c:v>2020./2021.m.g.-32, vid.vērt.-37,31%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Lapa1!$D$2:$D$9</c:f>
              <c:numCache>
                <c:formatCode>General</c:formatCode>
                <c:ptCount val="8"/>
                <c:pt idx="0">
                  <c:v>1</c:v>
                </c:pt>
                <c:pt idx="1">
                  <c:v>3</c:v>
                </c:pt>
                <c:pt idx="2">
                  <c:v>8</c:v>
                </c:pt>
                <c:pt idx="3">
                  <c:v>9</c:v>
                </c:pt>
                <c:pt idx="4">
                  <c:v>5</c:v>
                </c:pt>
                <c:pt idx="5">
                  <c:v>1</c:v>
                </c:pt>
                <c:pt idx="6">
                  <c:v>5</c:v>
                </c:pt>
                <c:pt idx="7">
                  <c:v>37.31</c:v>
                </c:pt>
              </c:numCache>
            </c:numRef>
          </c:val>
        </c:ser>
        <c:ser>
          <c:idx val="3"/>
          <c:order val="3"/>
          <c:tx>
            <c:strRef>
              <c:f>Lapa1!$B$1</c:f>
              <c:strCache>
                <c:ptCount val="1"/>
                <c:pt idx="0">
                  <c:v>2018./2019.m.g.-62, vid.rezult.- 35,8%</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Lit>
              <c:formatCode>General</c:formatCode>
              <c:ptCount val="1"/>
              <c:pt idx="0">
                <c:v>1</c:v>
              </c:pt>
            </c:numLit>
          </c:val>
        </c:ser>
        <c:dLbls>
          <c:dLblPos val="outEnd"/>
          <c:showLegendKey val="0"/>
          <c:showVal val="1"/>
          <c:showCatName val="0"/>
          <c:showSerName val="0"/>
          <c:showPercent val="0"/>
          <c:showBubbleSize val="0"/>
        </c:dLbls>
        <c:gapWidth val="444"/>
        <c:overlap val="-90"/>
        <c:axId val="-1195573856"/>
        <c:axId val="-1195582016"/>
      </c:barChart>
      <c:catAx>
        <c:axId val="-119557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1195582016"/>
        <c:crosses val="autoZero"/>
        <c:auto val="1"/>
        <c:lblAlgn val="ctr"/>
        <c:lblOffset val="100"/>
        <c:noMultiLvlLbl val="0"/>
      </c:catAx>
      <c:valAx>
        <c:axId val="-1195582016"/>
        <c:scaling>
          <c:orientation val="minMax"/>
        </c:scaling>
        <c:delete val="1"/>
        <c:axPos val="l"/>
        <c:numFmt formatCode="General" sourceLinked="1"/>
        <c:majorTickMark val="none"/>
        <c:minorTickMark val="none"/>
        <c:tickLblPos val="nextTo"/>
        <c:crossAx val="-1195573856"/>
        <c:crosses val="autoZero"/>
        <c:crossBetween val="between"/>
      </c:valAx>
      <c:spPr>
        <a:noFill/>
        <a:ln>
          <a:noFill/>
        </a:ln>
        <a:effectLst/>
      </c:spPr>
    </c:plotArea>
    <c:legend>
      <c:legendPos val="t"/>
      <c:legendEntry>
        <c:idx val="0"/>
        <c:delete val="1"/>
      </c:legendEntry>
      <c:layout>
        <c:manualLayout>
          <c:xMode val="edge"/>
          <c:yMode val="edge"/>
          <c:x val="0.102946953059439"/>
          <c:y val="0.19693989071038251"/>
          <c:w val="0.79410609388112197"/>
          <c:h val="0.127049610601953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a:t>VISC centralizētais eksāmens fizikā</a:t>
            </a:r>
          </a:p>
        </c:rich>
      </c:tx>
      <c:layout>
        <c:manualLayout>
          <c:xMode val="edge"/>
          <c:yMode val="edge"/>
          <c:x val="0.212683554815701"/>
          <c:y val="5.366357069143446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Lapa1!$B$1</c:f>
              <c:strCache>
                <c:ptCount val="1"/>
                <c:pt idx="0">
                  <c:v>2018./2019.m.g.-12   , vid.rezult. 14,17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Lapa1!$A$2:$A$6</c:f>
              <c:strCache>
                <c:ptCount val="5"/>
                <c:pt idx="0">
                  <c:v>5-10%</c:v>
                </c:pt>
                <c:pt idx="1">
                  <c:v>11-20%</c:v>
                </c:pt>
                <c:pt idx="2">
                  <c:v>21-30%</c:v>
                </c:pt>
                <c:pt idx="3">
                  <c:v>31-40%</c:v>
                </c:pt>
                <c:pt idx="4">
                  <c:v>42%</c:v>
                </c:pt>
              </c:strCache>
            </c:strRef>
          </c:cat>
          <c:val>
            <c:numRef>
              <c:f>Lapa1!$B$2:$B$6</c:f>
              <c:numCache>
                <c:formatCode>General</c:formatCode>
                <c:ptCount val="5"/>
                <c:pt idx="0">
                  <c:v>2</c:v>
                </c:pt>
                <c:pt idx="1">
                  <c:v>10</c:v>
                </c:pt>
              </c:numCache>
            </c:numRef>
          </c:val>
        </c:ser>
        <c:ser>
          <c:idx val="1"/>
          <c:order val="1"/>
          <c:tx>
            <c:strRef>
              <c:f>Lapa1!$C$1</c:f>
              <c:strCache>
                <c:ptCount val="1"/>
                <c:pt idx="0">
                  <c:v>2019./2020.m.g.-10   , vid.rezult. 15,45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Lapa1!$A$2:$A$6</c:f>
              <c:strCache>
                <c:ptCount val="5"/>
                <c:pt idx="0">
                  <c:v>5-10%</c:v>
                </c:pt>
                <c:pt idx="1">
                  <c:v>11-20%</c:v>
                </c:pt>
                <c:pt idx="2">
                  <c:v>21-30%</c:v>
                </c:pt>
                <c:pt idx="3">
                  <c:v>31-40%</c:v>
                </c:pt>
                <c:pt idx="4">
                  <c:v>42%</c:v>
                </c:pt>
              </c:strCache>
            </c:strRef>
          </c:cat>
          <c:val>
            <c:numRef>
              <c:f>Lapa1!$C$2:$C$6</c:f>
              <c:numCache>
                <c:formatCode>General</c:formatCode>
                <c:ptCount val="5"/>
                <c:pt idx="0">
                  <c:v>2</c:v>
                </c:pt>
                <c:pt idx="1">
                  <c:v>3</c:v>
                </c:pt>
                <c:pt idx="4">
                  <c:v>1</c:v>
                </c:pt>
              </c:numCache>
            </c:numRef>
          </c:val>
        </c:ser>
        <c:dLbls>
          <c:dLblPos val="outEnd"/>
          <c:showLegendKey val="0"/>
          <c:showVal val="1"/>
          <c:showCatName val="0"/>
          <c:showSerName val="0"/>
          <c:showPercent val="0"/>
          <c:showBubbleSize val="0"/>
        </c:dLbls>
        <c:gapWidth val="444"/>
        <c:overlap val="-90"/>
        <c:axId val="-1195570048"/>
        <c:axId val="-1195581472"/>
      </c:barChart>
      <c:catAx>
        <c:axId val="-1195570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95581472"/>
        <c:crosses val="autoZero"/>
        <c:auto val="1"/>
        <c:lblAlgn val="ctr"/>
        <c:lblOffset val="100"/>
        <c:noMultiLvlLbl val="0"/>
      </c:catAx>
      <c:valAx>
        <c:axId val="-1195581472"/>
        <c:scaling>
          <c:orientation val="minMax"/>
        </c:scaling>
        <c:delete val="1"/>
        <c:axPos val="l"/>
        <c:numFmt formatCode="General" sourceLinked="1"/>
        <c:majorTickMark val="none"/>
        <c:minorTickMark val="none"/>
        <c:tickLblPos val="nextTo"/>
        <c:crossAx val="-1195570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2195</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Parzine</dc:creator>
  <cp:keywords/>
  <dc:description/>
  <cp:lastModifiedBy>Microsoft konts</cp:lastModifiedBy>
  <cp:revision>2</cp:revision>
  <dcterms:created xsi:type="dcterms:W3CDTF">2021-12-06T10:29:00Z</dcterms:created>
  <dcterms:modified xsi:type="dcterms:W3CDTF">2021-12-06T10:29:00Z</dcterms:modified>
</cp:coreProperties>
</file>