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3E0" w:rsidRDefault="008853E0" w:rsidP="00910642">
      <w:pPr>
        <w:spacing w:after="0" w:line="240" w:lineRule="auto"/>
        <w:rPr>
          <w:rFonts w:ascii="Arial" w:eastAsia="Times New Roman" w:hAnsi="Arial" w:cs="Arial"/>
          <w:b/>
          <w:sz w:val="24"/>
          <w:szCs w:val="24"/>
          <w:lang w:eastAsia="lv-LV"/>
        </w:rPr>
      </w:pPr>
      <w:r w:rsidRPr="008853E0">
        <w:rPr>
          <w:rFonts w:ascii="Arial" w:eastAsia="Times New Roman" w:hAnsi="Arial" w:cs="Arial"/>
          <w:b/>
          <w:sz w:val="24"/>
          <w:szCs w:val="24"/>
          <w:lang w:eastAsia="lv-LV"/>
        </w:rPr>
        <w:t>Walnut.</w:t>
      </w:r>
    </w:p>
    <w:p w:rsidR="008853E0" w:rsidRPr="008853E0" w:rsidRDefault="008853E0" w:rsidP="00910642">
      <w:pPr>
        <w:spacing w:after="0" w:line="240" w:lineRule="auto"/>
        <w:rPr>
          <w:rFonts w:ascii="Arial" w:eastAsia="Times New Roman" w:hAnsi="Arial" w:cs="Arial"/>
          <w:b/>
          <w:sz w:val="24"/>
          <w:szCs w:val="24"/>
          <w:lang w:eastAsia="lv-LV"/>
        </w:rPr>
      </w:pPr>
      <w:bookmarkStart w:id="0" w:name="_GoBack"/>
      <w:bookmarkEnd w:id="0"/>
    </w:p>
    <w:p w:rsidR="00910642" w:rsidRDefault="00910642" w:rsidP="00910642">
      <w:pPr>
        <w:spacing w:after="0" w:line="240" w:lineRule="auto"/>
        <w:rPr>
          <w:rFonts w:ascii="Arial" w:eastAsia="Times New Roman" w:hAnsi="Arial" w:cs="Arial"/>
          <w:sz w:val="20"/>
          <w:szCs w:val="20"/>
          <w:lang w:eastAsia="lv-LV"/>
        </w:rPr>
      </w:pPr>
      <w:r w:rsidRPr="00910642">
        <w:rPr>
          <w:rFonts w:ascii="Arial" w:eastAsia="Times New Roman" w:hAnsi="Arial" w:cs="Arial"/>
          <w:sz w:val="20"/>
          <w:szCs w:val="20"/>
          <w:lang w:eastAsia="lv-LV"/>
        </w:rPr>
        <w:t>Walnut</w:t>
      </w:r>
      <w:r w:rsidR="00573CCD">
        <w:rPr>
          <w:rFonts w:ascii="Arial" w:eastAsia="Times New Roman" w:hAnsi="Arial" w:cs="Arial"/>
          <w:sz w:val="20"/>
          <w:szCs w:val="20"/>
          <w:lang w:eastAsia="lv-LV"/>
        </w:rPr>
        <w:t xml:space="preserve"> c</w:t>
      </w:r>
      <w:r w:rsidRPr="00910642">
        <w:rPr>
          <w:rFonts w:ascii="Arial" w:eastAsia="Times New Roman" w:hAnsi="Arial" w:cs="Arial"/>
          <w:sz w:val="20"/>
          <w:szCs w:val="20"/>
          <w:lang w:eastAsia="lv-LV"/>
        </w:rPr>
        <w:t>onsidered the elite of the American hardwoods, walnut is the favourite of the darker woods for</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fine furniture, interiors and gunstocks. Walnut grows in widely scattered stands throughout the</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eastern half of the United States, primarily in the Midwest. Histori</w:t>
      </w:r>
      <w:r w:rsidR="00573CCD">
        <w:rPr>
          <w:rFonts w:ascii="Arial" w:eastAsia="Times New Roman" w:hAnsi="Arial" w:cs="Arial"/>
          <w:sz w:val="20"/>
          <w:szCs w:val="20"/>
          <w:lang w:eastAsia="lv-LV"/>
        </w:rPr>
        <w:t xml:space="preserve">cally, the grading rules for </w:t>
      </w:r>
      <w:r w:rsidRPr="00910642">
        <w:rPr>
          <w:rFonts w:ascii="Arial" w:eastAsia="Times New Roman" w:hAnsi="Arial" w:cs="Arial"/>
          <w:sz w:val="20"/>
          <w:szCs w:val="20"/>
          <w:lang w:eastAsia="lv-LV"/>
        </w:rPr>
        <w:t>walnut have been refined to encourage better use of this valuable species. Because of this, FAS</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Walnut grades allow for smaller boards, both in width and length. Natural characteristics are also</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 xml:space="preserve">admitted to a greater extent than the standard NHLA grade rules for other species. </w:t>
      </w:r>
    </w:p>
    <w:p w:rsidR="00573CCD" w:rsidRPr="00573CCD" w:rsidRDefault="00573CCD" w:rsidP="00573CCD">
      <w:pPr>
        <w:spacing w:before="100" w:beforeAutospacing="1" w:after="100" w:afterAutospacing="1" w:line="240" w:lineRule="auto"/>
        <w:outlineLvl w:val="0"/>
        <w:rPr>
          <w:rFonts w:ascii="Times New Roman" w:eastAsia="Times New Roman" w:hAnsi="Times New Roman" w:cs="Times New Roman"/>
          <w:b/>
          <w:bCs/>
          <w:kern w:val="36"/>
          <w:sz w:val="28"/>
          <w:szCs w:val="28"/>
          <w:lang w:eastAsia="lv-LV"/>
        </w:rPr>
      </w:pPr>
      <w:r w:rsidRPr="00573CCD">
        <w:rPr>
          <w:rFonts w:ascii="Times New Roman" w:eastAsia="Times New Roman" w:hAnsi="Times New Roman" w:cs="Times New Roman"/>
          <w:b/>
          <w:bCs/>
          <w:kern w:val="36"/>
          <w:sz w:val="28"/>
          <w:szCs w:val="28"/>
          <w:lang w:eastAsia="lv-LV"/>
        </w:rPr>
        <w:t>European Larch</w:t>
      </w:r>
    </w:p>
    <w:p w:rsidR="00573CCD" w:rsidRPr="00573CCD" w:rsidRDefault="00573CCD" w:rsidP="00573CCD">
      <w:pPr>
        <w:pBdr>
          <w:bottom w:val="single" w:sz="6" w:space="1" w:color="auto"/>
        </w:pBdr>
        <w:spacing w:after="0" w:line="240" w:lineRule="auto"/>
        <w:jc w:val="center"/>
        <w:rPr>
          <w:rFonts w:ascii="Arial" w:eastAsia="Times New Roman" w:hAnsi="Arial" w:cs="Arial"/>
          <w:vanish/>
          <w:sz w:val="16"/>
          <w:szCs w:val="16"/>
          <w:lang w:eastAsia="lv-LV"/>
        </w:rPr>
      </w:pPr>
      <w:r w:rsidRPr="00573CCD">
        <w:rPr>
          <w:rFonts w:ascii="Arial" w:eastAsia="Times New Roman" w:hAnsi="Arial" w:cs="Arial"/>
          <w:vanish/>
          <w:sz w:val="16"/>
          <w:szCs w:val="16"/>
          <w:lang w:eastAsia="lv-LV"/>
        </w:rPr>
        <w:t>Top of Form</w:t>
      </w:r>
    </w:p>
    <w:p w:rsidR="00573CCD" w:rsidRPr="00573CCD" w:rsidRDefault="00573CCD" w:rsidP="00573CCD">
      <w:pPr>
        <w:spacing w:after="0" w:line="240" w:lineRule="auto"/>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5" o:title=""/>
          </v:shape>
          <w:control r:id="rId6" w:name="DefaultOcxName" w:shapeid="_x0000_i1029"/>
        </w:object>
      </w:r>
    </w:p>
    <w:p w:rsidR="00573CCD" w:rsidRPr="00573CCD" w:rsidRDefault="00573CCD" w:rsidP="00573CCD">
      <w:pPr>
        <w:pBdr>
          <w:top w:val="single" w:sz="6" w:space="1" w:color="auto"/>
        </w:pBdr>
        <w:spacing w:after="0" w:line="240" w:lineRule="auto"/>
        <w:jc w:val="center"/>
        <w:rPr>
          <w:rFonts w:ascii="Arial" w:eastAsia="Times New Roman" w:hAnsi="Arial" w:cs="Arial"/>
          <w:vanish/>
          <w:sz w:val="16"/>
          <w:szCs w:val="16"/>
          <w:lang w:eastAsia="lv-LV"/>
        </w:rPr>
      </w:pPr>
      <w:r w:rsidRPr="00573CCD">
        <w:rPr>
          <w:rFonts w:ascii="Arial" w:eastAsia="Times New Roman" w:hAnsi="Arial" w:cs="Arial"/>
          <w:vanish/>
          <w:sz w:val="16"/>
          <w:szCs w:val="16"/>
          <w:lang w:eastAsia="lv-LV"/>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5"/>
        <w:gridCol w:w="5181"/>
      </w:tblGrid>
      <w:tr w:rsidR="00573CCD" w:rsidRPr="00573CCD" w:rsidTr="00573CCD">
        <w:trPr>
          <w:tblCellSpacing w:w="15" w:type="dxa"/>
        </w:trPr>
        <w:tc>
          <w:tcPr>
            <w:tcW w:w="0" w:type="auto"/>
            <w:vAlign w:val="center"/>
            <w:hideMark/>
          </w:tcPr>
          <w:p w:rsidR="00573CCD" w:rsidRPr="00573CCD" w:rsidRDefault="00573CCD" w:rsidP="00573CCD">
            <w:pPr>
              <w:spacing w:after="0" w:line="240" w:lineRule="auto"/>
              <w:jc w:val="center"/>
              <w:rPr>
                <w:rFonts w:ascii="Times New Roman" w:eastAsia="Times New Roman" w:hAnsi="Times New Roman" w:cs="Times New Roman"/>
                <w:sz w:val="24"/>
                <w:szCs w:val="24"/>
                <w:lang w:eastAsia="lv-LV"/>
              </w:rPr>
            </w:pPr>
            <w:r w:rsidRPr="00573CCD">
              <w:rPr>
                <w:rFonts w:ascii="Times New Roman" w:eastAsia="Times New Roman" w:hAnsi="Times New Roman" w:cs="Times New Roman"/>
                <w:noProof/>
                <w:color w:val="0000FF"/>
                <w:sz w:val="24"/>
                <w:szCs w:val="24"/>
                <w:lang w:eastAsia="lv-LV"/>
              </w:rPr>
              <w:drawing>
                <wp:inline distT="0" distB="0" distL="0" distR="0" wp14:anchorId="669D5EE0" wp14:editId="79CE630D">
                  <wp:extent cx="1905000" cy="1905000"/>
                  <wp:effectExtent l="0" t="0" r="0" b="0"/>
                  <wp:docPr id="1" name="Picture 1" descr="European Larch (Larix decidu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Larch (Larix decidu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73CCD" w:rsidRPr="00573CCD" w:rsidRDefault="00573CCD" w:rsidP="00573C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lang w:eastAsia="lv-LV"/>
              </w:rPr>
              <w:t>European Larch (Larix decidua)</w:t>
            </w:r>
          </w:p>
          <w:p w:rsidR="00573CCD" w:rsidRPr="00573CCD" w:rsidRDefault="00573CCD" w:rsidP="00573CCD">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0" w:type="auto"/>
            <w:vAlign w:val="center"/>
            <w:hideMark/>
          </w:tcPr>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9" w:tooltip="The Common Name lists the name(s) that most laypeople use when talking about the wood. It can sometimes be vague, because there are some instances where two different species of wood are called by the same common name. This field may also include trade names t" w:history="1">
              <w:r w:rsidR="00573CCD" w:rsidRPr="00573CCD">
                <w:rPr>
                  <w:rFonts w:ascii="Times New Roman" w:eastAsia="Times New Roman" w:hAnsi="Times New Roman" w:cs="Times New Roman"/>
                  <w:b/>
                  <w:bCs/>
                  <w:color w:val="0000FF"/>
                  <w:sz w:val="24"/>
                  <w:szCs w:val="24"/>
                  <w:u w:val="single"/>
                  <w:lang w:eastAsia="lv-LV"/>
                </w:rPr>
                <w:t>Common Name(s):</w:t>
              </w:r>
            </w:hyperlink>
            <w:r w:rsidR="00573CCD" w:rsidRPr="00573CCD">
              <w:rPr>
                <w:rFonts w:ascii="Times New Roman" w:eastAsia="Times New Roman" w:hAnsi="Times New Roman" w:cs="Times New Roman"/>
                <w:sz w:val="24"/>
                <w:szCs w:val="24"/>
                <w:lang w:eastAsia="lv-LV"/>
              </w:rPr>
              <w:t xml:space="preserve"> European Larch, Common Larch</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0" w:tooltip="In contrast to a wood’s common name, using the scientific or botanical name is a much more precise way of referencing wood: the only downside is that it’s Latin, and doesn’t make much sense to most English-speaking people. The name is listed in two parts: [Gen" w:history="1">
              <w:r w:rsidR="00573CCD" w:rsidRPr="00573CCD">
                <w:rPr>
                  <w:rFonts w:ascii="Times New Roman" w:eastAsia="Times New Roman" w:hAnsi="Times New Roman" w:cs="Times New Roman"/>
                  <w:b/>
                  <w:bCs/>
                  <w:color w:val="0000FF"/>
                  <w:sz w:val="24"/>
                  <w:szCs w:val="24"/>
                  <w:u w:val="single"/>
                  <w:lang w:eastAsia="lv-LV"/>
                </w:rPr>
                <w:t>Scientific Name:</w:t>
              </w:r>
            </w:hyperlink>
            <w:r w:rsidR="00573CCD" w:rsidRPr="00573CCD">
              <w:rPr>
                <w:rFonts w:ascii="Times New Roman" w:eastAsia="Times New Roman" w:hAnsi="Times New Roman" w:cs="Times New Roman"/>
                <w:sz w:val="24"/>
                <w:szCs w:val="24"/>
                <w:lang w:eastAsia="lv-LV"/>
              </w:rPr>
              <w:t xml:space="preserve"> Larix decidua</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1" w:tooltip="The distribution indicates the location(s) where the tree is commonly found; that is, where it naturally grows. Additional source data will be included on a wood species if it is commonly grown on a plantation or is harvested from some other non-native area." w:history="1">
              <w:r w:rsidR="00573CCD" w:rsidRPr="00573CCD">
                <w:rPr>
                  <w:rFonts w:ascii="Times New Roman" w:eastAsia="Times New Roman" w:hAnsi="Times New Roman" w:cs="Times New Roman"/>
                  <w:b/>
                  <w:bCs/>
                  <w:color w:val="0000FF"/>
                  <w:sz w:val="24"/>
                  <w:szCs w:val="24"/>
                  <w:u w:val="single"/>
                  <w:lang w:eastAsia="lv-LV"/>
                </w:rPr>
                <w:t>Distribution:</w:t>
              </w:r>
            </w:hyperlink>
            <w:r w:rsidR="00573CCD" w:rsidRPr="00573CCD">
              <w:rPr>
                <w:rFonts w:ascii="Times New Roman" w:eastAsia="Times New Roman" w:hAnsi="Times New Roman" w:cs="Times New Roman"/>
                <w:sz w:val="24"/>
                <w:szCs w:val="24"/>
                <w:lang w:eastAsia="lv-LV"/>
              </w:rPr>
              <w:t xml:space="preserve"> Central Europe</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2" w:tooltip="Beyond just giving a good visualization of how large the tree of a given wood species grows, (in height and diameter), these measurements can also help to give an idea of what size boards/lumber is available." w:history="1">
              <w:r w:rsidR="00573CCD" w:rsidRPr="00573CCD">
                <w:rPr>
                  <w:rFonts w:ascii="Times New Roman" w:eastAsia="Times New Roman" w:hAnsi="Times New Roman" w:cs="Times New Roman"/>
                  <w:b/>
                  <w:bCs/>
                  <w:color w:val="0000FF"/>
                  <w:sz w:val="24"/>
                  <w:szCs w:val="24"/>
                  <w:u w:val="single"/>
                  <w:lang w:eastAsia="lv-LV"/>
                </w:rPr>
                <w:t>Tree Size:</w:t>
              </w:r>
            </w:hyperlink>
            <w:r w:rsidR="00573CCD" w:rsidRPr="00573CCD">
              <w:rPr>
                <w:rFonts w:ascii="Times New Roman" w:eastAsia="Times New Roman" w:hAnsi="Times New Roman" w:cs="Times New Roman"/>
                <w:sz w:val="24"/>
                <w:szCs w:val="24"/>
                <w:lang w:eastAsia="lv-LV"/>
              </w:rPr>
              <w:t xml:space="preserve"> 85-150 ft (25-45 m) tall, 2-3 ft (.6-1 m) trunk diameter</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3" w:tooltip="This is a measure of a wood’s weight in relation to a preset volume. Usually it’s pounds per cubic foot (lbs/ft3), or in metric units: kilograms per cubic meter (kg/m3). However, a wood’s weight will also greatly depend on it’s moisture content (MC); all readi" w:history="1">
              <w:r w:rsidR="00573CCD" w:rsidRPr="00573CCD">
                <w:rPr>
                  <w:rFonts w:ascii="Times New Roman" w:eastAsia="Times New Roman" w:hAnsi="Times New Roman" w:cs="Times New Roman"/>
                  <w:b/>
                  <w:bCs/>
                  <w:color w:val="0000FF"/>
                  <w:sz w:val="24"/>
                  <w:szCs w:val="24"/>
                  <w:u w:val="single"/>
                  <w:lang w:eastAsia="lv-LV"/>
                </w:rPr>
                <w:t>Average Dried Weight:</w:t>
              </w:r>
            </w:hyperlink>
            <w:r w:rsidR="00573CCD" w:rsidRPr="00573CCD">
              <w:rPr>
                <w:rFonts w:ascii="Times New Roman" w:eastAsia="Times New Roman" w:hAnsi="Times New Roman" w:cs="Times New Roman"/>
                <w:sz w:val="24"/>
                <w:szCs w:val="24"/>
                <w:lang w:eastAsia="lv-LV"/>
              </w:rPr>
              <w:t xml:space="preserve"> 36 lbs/ft</w:t>
            </w:r>
            <w:r w:rsidR="00573CCD" w:rsidRPr="00573CCD">
              <w:rPr>
                <w:rFonts w:ascii="Times New Roman" w:eastAsia="Times New Roman" w:hAnsi="Times New Roman" w:cs="Times New Roman"/>
                <w:sz w:val="24"/>
                <w:szCs w:val="24"/>
                <w:vertAlign w:val="superscript"/>
                <w:lang w:eastAsia="lv-LV"/>
              </w:rPr>
              <w:t>3</w:t>
            </w:r>
            <w:r w:rsidR="00573CCD" w:rsidRPr="00573CCD">
              <w:rPr>
                <w:rFonts w:ascii="Times New Roman" w:eastAsia="Times New Roman" w:hAnsi="Times New Roman" w:cs="Times New Roman"/>
                <w:sz w:val="24"/>
                <w:szCs w:val="24"/>
                <w:lang w:eastAsia="lv-LV"/>
              </w:rPr>
              <w:t xml:space="preserve"> (575 kg/m</w:t>
            </w:r>
            <w:r w:rsidR="00573CCD" w:rsidRPr="00573CCD">
              <w:rPr>
                <w:rFonts w:ascii="Times New Roman" w:eastAsia="Times New Roman" w:hAnsi="Times New Roman" w:cs="Times New Roman"/>
                <w:sz w:val="24"/>
                <w:szCs w:val="24"/>
                <w:vertAlign w:val="superscript"/>
                <w:lang w:eastAsia="lv-LV"/>
              </w:rPr>
              <w:t>3</w:t>
            </w:r>
            <w:r w:rsidR="00573CCD" w:rsidRPr="00573CCD">
              <w:rPr>
                <w:rFonts w:ascii="Times New Roman" w:eastAsia="Times New Roman" w:hAnsi="Times New Roman" w:cs="Times New Roman"/>
                <w:sz w:val="24"/>
                <w:szCs w:val="24"/>
                <w:lang w:eastAsia="lv-LV"/>
              </w:rPr>
              <w:t>)</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4" w:tooltip="Technically, specific gravity is a measure of the ratio of a wood’s density as compared to water. (So if a wood is of the same density as water, the specific gravity would be 1.00.)  The first number is the basic specific gravity, based on the botanical standa" w:history="1">
              <w:r w:rsidR="00573CCD" w:rsidRPr="00573CCD">
                <w:rPr>
                  <w:rFonts w:ascii="Times New Roman" w:eastAsia="Times New Roman" w:hAnsi="Times New Roman" w:cs="Times New Roman"/>
                  <w:b/>
                  <w:bCs/>
                  <w:color w:val="0000FF"/>
                  <w:sz w:val="24"/>
                  <w:szCs w:val="24"/>
                  <w:u w:val="single"/>
                  <w:lang w:eastAsia="lv-LV"/>
                </w:rPr>
                <w:t>Specific Gravity (Basic, 12% MC):</w:t>
              </w:r>
            </w:hyperlink>
            <w:r w:rsidR="00573CCD" w:rsidRPr="00573CCD">
              <w:rPr>
                <w:rFonts w:ascii="Times New Roman" w:eastAsia="Times New Roman" w:hAnsi="Times New Roman" w:cs="Times New Roman"/>
                <w:sz w:val="24"/>
                <w:szCs w:val="24"/>
                <w:lang w:eastAsia="lv-LV"/>
              </w:rPr>
              <w:t xml:space="preserve"> .45, .58</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5" w:tooltip="The actual number listed is the amount of pounds-force (lbf) or newtons (N) required to imbed a .444 inch (11.28 mm) diameter steel ball into the wood to half the ball’s diameter. This number is given for wood that has been dried to a 12% moisture content, unl" w:history="1">
              <w:r w:rsidR="00573CCD" w:rsidRPr="00573CCD">
                <w:rPr>
                  <w:rFonts w:ascii="Times New Roman" w:eastAsia="Times New Roman" w:hAnsi="Times New Roman" w:cs="Times New Roman"/>
                  <w:b/>
                  <w:bCs/>
                  <w:color w:val="0000FF"/>
                  <w:sz w:val="24"/>
                  <w:szCs w:val="24"/>
                  <w:u w:val="single"/>
                  <w:lang w:eastAsia="lv-LV"/>
                </w:rPr>
                <w:t>Janka Hardness:</w:t>
              </w:r>
            </w:hyperlink>
            <w:r w:rsidR="00573CCD" w:rsidRPr="00573CCD">
              <w:rPr>
                <w:rFonts w:ascii="Times New Roman" w:eastAsia="Times New Roman" w:hAnsi="Times New Roman" w:cs="Times New Roman"/>
                <w:sz w:val="24"/>
                <w:szCs w:val="24"/>
                <w:lang w:eastAsia="lv-LV"/>
              </w:rPr>
              <w:t xml:space="preserve"> 740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 xml:space="preserve"> (3,290 N)</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6" w:tooltip="Modulus of rupture, frequently abbreviated as MOR, (sometimes referred to as bending strength), is a measure of a specimen’s strength before rupture. It can be used to determine a wood species’ overall strength; unlike the modulus of elasticity, which measures" w:history="1">
              <w:r w:rsidR="00573CCD" w:rsidRPr="00573CCD">
                <w:rPr>
                  <w:rFonts w:ascii="Times New Roman" w:eastAsia="Times New Roman" w:hAnsi="Times New Roman" w:cs="Times New Roman"/>
                  <w:b/>
                  <w:bCs/>
                  <w:color w:val="0000FF"/>
                  <w:sz w:val="24"/>
                  <w:szCs w:val="24"/>
                  <w:u w:val="single"/>
                  <w:lang w:eastAsia="lv-LV"/>
                </w:rPr>
                <w:t>Modulus of Rupture:</w:t>
              </w:r>
            </w:hyperlink>
            <w:r w:rsidR="00573CCD" w:rsidRPr="00573CCD">
              <w:rPr>
                <w:rFonts w:ascii="Times New Roman" w:eastAsia="Times New Roman" w:hAnsi="Times New Roman" w:cs="Times New Roman"/>
                <w:sz w:val="24"/>
                <w:szCs w:val="24"/>
                <w:lang w:eastAsia="lv-LV"/>
              </w:rPr>
              <w:t xml:space="preserve"> 13,050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/in</w:t>
            </w:r>
            <w:r w:rsidR="00573CCD" w:rsidRPr="00573CCD">
              <w:rPr>
                <w:rFonts w:ascii="Times New Roman" w:eastAsia="Times New Roman" w:hAnsi="Times New Roman" w:cs="Times New Roman"/>
                <w:sz w:val="24"/>
                <w:szCs w:val="24"/>
                <w:vertAlign w:val="superscript"/>
                <w:lang w:eastAsia="lv-LV"/>
              </w:rPr>
              <w:t>2</w:t>
            </w:r>
            <w:r w:rsidR="00573CCD" w:rsidRPr="00573CCD">
              <w:rPr>
                <w:rFonts w:ascii="Times New Roman" w:eastAsia="Times New Roman" w:hAnsi="Times New Roman" w:cs="Times New Roman"/>
                <w:sz w:val="24"/>
                <w:szCs w:val="24"/>
                <w:lang w:eastAsia="lv-LV"/>
              </w:rPr>
              <w:t xml:space="preserve"> (90.0 MPa)</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7" w:tooltip="In the simplest terms, the modulus of elasticity (MOE) measures a wood’s stiffness, and is a good overall indicator of its strength. Technically it’s a measurement of the ratio of stress placed upon the wood compared to the strain (deformation) that the wood e" w:history="1">
              <w:r w:rsidR="00573CCD" w:rsidRPr="00573CCD">
                <w:rPr>
                  <w:rFonts w:ascii="Times New Roman" w:eastAsia="Times New Roman" w:hAnsi="Times New Roman" w:cs="Times New Roman"/>
                  <w:b/>
                  <w:bCs/>
                  <w:color w:val="0000FF"/>
                  <w:sz w:val="24"/>
                  <w:szCs w:val="24"/>
                  <w:u w:val="single"/>
                  <w:lang w:eastAsia="lv-LV"/>
                </w:rPr>
                <w:t>Elastic Modulus:</w:t>
              </w:r>
            </w:hyperlink>
            <w:r w:rsidR="00573CCD" w:rsidRPr="00573CCD">
              <w:rPr>
                <w:rFonts w:ascii="Times New Roman" w:eastAsia="Times New Roman" w:hAnsi="Times New Roman" w:cs="Times New Roman"/>
                <w:sz w:val="24"/>
                <w:szCs w:val="24"/>
                <w:lang w:eastAsia="lv-LV"/>
              </w:rPr>
              <w:t xml:space="preserve"> 1,711,000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/in</w:t>
            </w:r>
            <w:r w:rsidR="00573CCD" w:rsidRPr="00573CCD">
              <w:rPr>
                <w:rFonts w:ascii="Times New Roman" w:eastAsia="Times New Roman" w:hAnsi="Times New Roman" w:cs="Times New Roman"/>
                <w:sz w:val="24"/>
                <w:szCs w:val="24"/>
                <w:vertAlign w:val="superscript"/>
                <w:lang w:eastAsia="lv-LV"/>
              </w:rPr>
              <w:t>2</w:t>
            </w:r>
            <w:r w:rsidR="00573CCD" w:rsidRPr="00573CCD">
              <w:rPr>
                <w:rFonts w:ascii="Times New Roman" w:eastAsia="Times New Roman" w:hAnsi="Times New Roman" w:cs="Times New Roman"/>
                <w:sz w:val="24"/>
                <w:szCs w:val="24"/>
                <w:lang w:eastAsia="lv-LV"/>
              </w:rPr>
              <w:t xml:space="preserve"> (11.80 GPa)</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8" w:tooltip="Sometimes known as compression strength parallel to the grain, this is a measurement of the wood’s maximum crushing strength when weight is applied to the ends of the wood (compression is parallel to the grain). This number is a good indicator of the wood’s st" w:history="1">
              <w:r w:rsidR="00573CCD" w:rsidRPr="00573CCD">
                <w:rPr>
                  <w:rFonts w:ascii="Times New Roman" w:eastAsia="Times New Roman" w:hAnsi="Times New Roman" w:cs="Times New Roman"/>
                  <w:b/>
                  <w:bCs/>
                  <w:color w:val="0000FF"/>
                  <w:sz w:val="24"/>
                  <w:szCs w:val="24"/>
                  <w:u w:val="single"/>
                  <w:lang w:eastAsia="lv-LV"/>
                </w:rPr>
                <w:t>Crushing Strength:</w:t>
              </w:r>
            </w:hyperlink>
            <w:r w:rsidR="00573CCD" w:rsidRPr="00573CCD">
              <w:rPr>
                <w:rFonts w:ascii="Times New Roman" w:eastAsia="Times New Roman" w:hAnsi="Times New Roman" w:cs="Times New Roman"/>
                <w:sz w:val="24"/>
                <w:szCs w:val="24"/>
                <w:lang w:eastAsia="lv-LV"/>
              </w:rPr>
              <w:t xml:space="preserve"> 7,540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/in</w:t>
            </w:r>
            <w:r w:rsidR="00573CCD" w:rsidRPr="00573CCD">
              <w:rPr>
                <w:rFonts w:ascii="Times New Roman" w:eastAsia="Times New Roman" w:hAnsi="Times New Roman" w:cs="Times New Roman"/>
                <w:sz w:val="24"/>
                <w:szCs w:val="24"/>
                <w:vertAlign w:val="superscript"/>
                <w:lang w:eastAsia="lv-LV"/>
              </w:rPr>
              <w:t>2</w:t>
            </w:r>
            <w:r w:rsidR="00573CCD" w:rsidRPr="00573CCD">
              <w:rPr>
                <w:rFonts w:ascii="Times New Roman" w:eastAsia="Times New Roman" w:hAnsi="Times New Roman" w:cs="Times New Roman"/>
                <w:sz w:val="24"/>
                <w:szCs w:val="24"/>
                <w:lang w:eastAsia="lv-LV"/>
              </w:rPr>
              <w:t xml:space="preserve"> (52.0 MPa)</w:t>
            </w:r>
          </w:p>
          <w:p w:rsidR="00573CCD" w:rsidRPr="00573CCD" w:rsidRDefault="008853E0"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9" w:tooltip="This denotes how much the wood will shrink dimensionally when going from green to ovendry MC. This is a good overall indicator of the wood's stability when encountering changes in humidity." w:history="1">
              <w:r w:rsidR="00573CCD" w:rsidRPr="00573CCD">
                <w:rPr>
                  <w:rFonts w:ascii="Times New Roman" w:eastAsia="Times New Roman" w:hAnsi="Times New Roman" w:cs="Times New Roman"/>
                  <w:b/>
                  <w:bCs/>
                  <w:color w:val="0000FF"/>
                  <w:sz w:val="24"/>
                  <w:szCs w:val="24"/>
                  <w:u w:val="single"/>
                  <w:lang w:eastAsia="lv-LV"/>
                </w:rPr>
                <w:t>Shrinkage:</w:t>
              </w:r>
            </w:hyperlink>
            <w:r w:rsidR="00573CCD" w:rsidRPr="00573CCD">
              <w:rPr>
                <w:rFonts w:ascii="Times New Roman" w:eastAsia="Times New Roman" w:hAnsi="Times New Roman" w:cs="Times New Roman"/>
                <w:sz w:val="24"/>
                <w:szCs w:val="24"/>
                <w:lang w:eastAsia="lv-LV"/>
              </w:rPr>
              <w:t xml:space="preserve"> Radial: 4.2%, Tangential: 8.2%, Volumetric: 12.5%, T/R Ratio: 2.0</w:t>
            </w:r>
          </w:p>
        </w:tc>
      </w:tr>
    </w:tbl>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0" w:history="1">
        <w:r w:rsidR="00573CCD" w:rsidRPr="00573CCD">
          <w:rPr>
            <w:rFonts w:ascii="Times New Roman" w:eastAsia="Times New Roman" w:hAnsi="Times New Roman" w:cs="Times New Roman"/>
            <w:b/>
            <w:bCs/>
            <w:color w:val="0000FF"/>
            <w:sz w:val="24"/>
            <w:szCs w:val="24"/>
            <w:u w:val="single"/>
            <w:lang w:eastAsia="lv-LV"/>
          </w:rPr>
          <w:t>Color/Appearance:</w:t>
        </w:r>
      </w:hyperlink>
      <w:r w:rsidR="00573CCD" w:rsidRPr="00573CCD">
        <w:rPr>
          <w:rFonts w:ascii="Times New Roman" w:eastAsia="Times New Roman" w:hAnsi="Times New Roman" w:cs="Times New Roman"/>
          <w:sz w:val="24"/>
          <w:szCs w:val="24"/>
          <w:lang w:eastAsia="lv-LV"/>
        </w:rPr>
        <w:t xml:space="preserve"> Heartwood ranges from yellow to a medium reddish brown. Narrow sapwood is nearly white and is clearly demarcated from the heartwood. Flatsawn sections can exhibit a lot of character and interesting patterns in the growth rings. Knots are common but are usually small.</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1" w:history="1">
        <w:r w:rsidR="00573CCD" w:rsidRPr="00573CCD">
          <w:rPr>
            <w:rFonts w:ascii="Times New Roman" w:eastAsia="Times New Roman" w:hAnsi="Times New Roman" w:cs="Times New Roman"/>
            <w:b/>
            <w:bCs/>
            <w:color w:val="0000FF"/>
            <w:sz w:val="24"/>
            <w:szCs w:val="24"/>
            <w:u w:val="single"/>
            <w:lang w:eastAsia="lv-LV"/>
          </w:rPr>
          <w:t>Grain/Texture:</w:t>
        </w:r>
      </w:hyperlink>
      <w:r w:rsidR="00573CCD" w:rsidRPr="00573CCD">
        <w:rPr>
          <w:rFonts w:ascii="Times New Roman" w:eastAsia="Times New Roman" w:hAnsi="Times New Roman" w:cs="Times New Roman"/>
          <w:sz w:val="24"/>
          <w:szCs w:val="24"/>
          <w:lang w:eastAsia="lv-LV"/>
        </w:rPr>
        <w:t xml:space="preserve"> Grain is generally straight or spiraled. Texture is medium to fine with a greasy or oily feel.</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2" w:history="1">
        <w:r w:rsidR="00573CCD" w:rsidRPr="00573CCD">
          <w:rPr>
            <w:rFonts w:ascii="Times New Roman" w:eastAsia="Times New Roman" w:hAnsi="Times New Roman" w:cs="Times New Roman"/>
            <w:b/>
            <w:bCs/>
            <w:color w:val="0000FF"/>
            <w:sz w:val="24"/>
            <w:szCs w:val="24"/>
            <w:u w:val="single"/>
            <w:lang w:eastAsia="lv-LV"/>
          </w:rPr>
          <w:t>Rot Resistance:</w:t>
        </w:r>
      </w:hyperlink>
      <w:r w:rsidR="00573CCD" w:rsidRPr="00573CCD">
        <w:rPr>
          <w:rFonts w:ascii="Times New Roman" w:eastAsia="Times New Roman" w:hAnsi="Times New Roman" w:cs="Times New Roman"/>
          <w:sz w:val="24"/>
          <w:szCs w:val="24"/>
          <w:lang w:eastAsia="lv-LV"/>
        </w:rPr>
        <w:t xml:space="preserve"> Moderately durable regarding decay resistance.</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3" w:history="1">
        <w:r w:rsidR="00573CCD" w:rsidRPr="00573CCD">
          <w:rPr>
            <w:rFonts w:ascii="Times New Roman" w:eastAsia="Times New Roman" w:hAnsi="Times New Roman" w:cs="Times New Roman"/>
            <w:b/>
            <w:bCs/>
            <w:color w:val="0000FF"/>
            <w:sz w:val="24"/>
            <w:szCs w:val="24"/>
            <w:u w:val="single"/>
            <w:lang w:eastAsia="lv-LV"/>
          </w:rPr>
          <w:t>Workability:</w:t>
        </w:r>
      </w:hyperlink>
      <w:r w:rsidR="00573CCD" w:rsidRPr="00573CCD">
        <w:rPr>
          <w:rFonts w:ascii="Times New Roman" w:eastAsia="Times New Roman" w:hAnsi="Times New Roman" w:cs="Times New Roman"/>
          <w:sz w:val="24"/>
          <w:szCs w:val="24"/>
          <w:lang w:eastAsia="lv-LV"/>
        </w:rPr>
        <w:t xml:space="preserve"> Most hand and machine operations produce good results. However, natural resins in the wood have a tendency to gum up saw blades. Also, because of the </w:t>
      </w:r>
      <w:r w:rsidR="00573CCD" w:rsidRPr="00573CCD">
        <w:rPr>
          <w:rFonts w:ascii="Times New Roman" w:eastAsia="Times New Roman" w:hAnsi="Times New Roman" w:cs="Times New Roman"/>
          <w:sz w:val="24"/>
          <w:szCs w:val="24"/>
          <w:lang w:eastAsia="lv-LV"/>
        </w:rPr>
        <w:lastRenderedPageBreak/>
        <w:t>disparity between the soft earlywood and the hard latewood, sanding can create dips and uneven surfaces.</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4" w:history="1">
        <w:r w:rsidR="00573CCD" w:rsidRPr="00573CCD">
          <w:rPr>
            <w:rFonts w:ascii="Times New Roman" w:eastAsia="Times New Roman" w:hAnsi="Times New Roman" w:cs="Times New Roman"/>
            <w:b/>
            <w:bCs/>
            <w:color w:val="0000FF"/>
            <w:sz w:val="24"/>
            <w:szCs w:val="24"/>
            <w:u w:val="single"/>
            <w:lang w:eastAsia="lv-LV"/>
          </w:rPr>
          <w:t>Odor:</w:t>
        </w:r>
      </w:hyperlink>
      <w:r w:rsidR="00573CCD" w:rsidRPr="00573CCD">
        <w:rPr>
          <w:rFonts w:ascii="Times New Roman" w:eastAsia="Times New Roman" w:hAnsi="Times New Roman" w:cs="Times New Roman"/>
          <w:sz w:val="24"/>
          <w:szCs w:val="24"/>
          <w:lang w:eastAsia="lv-LV"/>
        </w:rPr>
        <w:t xml:space="preserve"> European Larch can have a distinct resinous odor when being worked.</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5" w:history="1">
        <w:r w:rsidR="00573CCD" w:rsidRPr="00573CCD">
          <w:rPr>
            <w:rFonts w:ascii="Times New Roman" w:eastAsia="Times New Roman" w:hAnsi="Times New Roman" w:cs="Times New Roman"/>
            <w:b/>
            <w:bCs/>
            <w:color w:val="0000FF"/>
            <w:sz w:val="24"/>
            <w:szCs w:val="24"/>
            <w:u w:val="single"/>
            <w:lang w:eastAsia="lv-LV"/>
          </w:rPr>
          <w:t>Allergies/Toxicity:</w:t>
        </w:r>
      </w:hyperlink>
      <w:r w:rsidR="00573CCD" w:rsidRPr="00573CCD">
        <w:rPr>
          <w:rFonts w:ascii="Times New Roman" w:eastAsia="Times New Roman" w:hAnsi="Times New Roman" w:cs="Times New Roman"/>
          <w:sz w:val="24"/>
          <w:szCs w:val="24"/>
          <w:lang w:eastAsia="lv-LV"/>
        </w:rPr>
        <w:t xml:space="preserve"> Although severe reactions are quite uncommon, wood species in the </w:t>
      </w:r>
      <w:hyperlink r:id="rId26" w:anchor="larix" w:history="1">
        <w:r w:rsidR="00573CCD" w:rsidRPr="00573CCD">
          <w:rPr>
            <w:rFonts w:ascii="Times New Roman" w:eastAsia="Times New Roman" w:hAnsi="Times New Roman" w:cs="Times New Roman"/>
            <w:color w:val="0000FF"/>
            <w:sz w:val="24"/>
            <w:szCs w:val="24"/>
            <w:u w:val="single"/>
            <w:lang w:eastAsia="lv-LV"/>
          </w:rPr>
          <w:t>Larix genus</w:t>
        </w:r>
      </w:hyperlink>
      <w:r w:rsidR="00573CCD" w:rsidRPr="00573CCD">
        <w:rPr>
          <w:rFonts w:ascii="Times New Roman" w:eastAsia="Times New Roman" w:hAnsi="Times New Roman" w:cs="Times New Roman"/>
          <w:sz w:val="24"/>
          <w:szCs w:val="24"/>
          <w:lang w:eastAsia="lv-LV"/>
        </w:rPr>
        <w:t xml:space="preserve"> have been reported to cause skin irritation, as well as hives and skin lesions. See the articles </w:t>
      </w:r>
      <w:hyperlink r:id="rId27" w:history="1">
        <w:r w:rsidR="00573CCD" w:rsidRPr="00573CCD">
          <w:rPr>
            <w:rFonts w:ascii="Times New Roman" w:eastAsia="Times New Roman" w:hAnsi="Times New Roman" w:cs="Times New Roman"/>
            <w:color w:val="0000FF"/>
            <w:sz w:val="24"/>
            <w:szCs w:val="24"/>
            <w:u w:val="single"/>
            <w:lang w:eastAsia="lv-LV"/>
          </w:rPr>
          <w:t>Wood Allergies and Toxicity</w:t>
        </w:r>
      </w:hyperlink>
      <w:r w:rsidR="00573CCD" w:rsidRPr="00573CCD">
        <w:rPr>
          <w:rFonts w:ascii="Times New Roman" w:eastAsia="Times New Roman" w:hAnsi="Times New Roman" w:cs="Times New Roman"/>
          <w:sz w:val="24"/>
          <w:szCs w:val="24"/>
          <w:lang w:eastAsia="lv-LV"/>
        </w:rPr>
        <w:t xml:space="preserve"> and </w:t>
      </w:r>
      <w:hyperlink r:id="rId28" w:history="1">
        <w:r w:rsidR="00573CCD" w:rsidRPr="00573CCD">
          <w:rPr>
            <w:rFonts w:ascii="Times New Roman" w:eastAsia="Times New Roman" w:hAnsi="Times New Roman" w:cs="Times New Roman"/>
            <w:color w:val="0000FF"/>
            <w:sz w:val="24"/>
            <w:szCs w:val="24"/>
            <w:u w:val="single"/>
            <w:lang w:eastAsia="lv-LV"/>
          </w:rPr>
          <w:t>Wood Dust Safety</w:t>
        </w:r>
      </w:hyperlink>
      <w:r w:rsidR="00573CCD" w:rsidRPr="00573CCD">
        <w:rPr>
          <w:rFonts w:ascii="Times New Roman" w:eastAsia="Times New Roman" w:hAnsi="Times New Roman" w:cs="Times New Roman"/>
          <w:sz w:val="24"/>
          <w:szCs w:val="24"/>
          <w:lang w:eastAsia="lv-LV"/>
        </w:rPr>
        <w:t xml:space="preserve"> for more information.</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9" w:history="1">
        <w:r w:rsidR="00573CCD" w:rsidRPr="00573CCD">
          <w:rPr>
            <w:rFonts w:ascii="Times New Roman" w:eastAsia="Times New Roman" w:hAnsi="Times New Roman" w:cs="Times New Roman"/>
            <w:b/>
            <w:bCs/>
            <w:color w:val="0000FF"/>
            <w:sz w:val="24"/>
            <w:szCs w:val="24"/>
            <w:u w:val="single"/>
            <w:lang w:eastAsia="lv-LV"/>
          </w:rPr>
          <w:t>Pricing/Availability:</w:t>
        </w:r>
      </w:hyperlink>
      <w:r w:rsidR="00573CCD" w:rsidRPr="00573CCD">
        <w:rPr>
          <w:rFonts w:ascii="Times New Roman" w:eastAsia="Times New Roman" w:hAnsi="Times New Roman" w:cs="Times New Roman"/>
          <w:sz w:val="24"/>
          <w:szCs w:val="24"/>
          <w:lang w:eastAsia="lv-LV"/>
        </w:rPr>
        <w:t xml:space="preserve"> European Larch is harvested for construction lumber; prices should be moderate within its local range.</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0" w:history="1">
        <w:r w:rsidR="00573CCD" w:rsidRPr="00573CCD">
          <w:rPr>
            <w:rFonts w:ascii="Times New Roman" w:eastAsia="Times New Roman" w:hAnsi="Times New Roman" w:cs="Times New Roman"/>
            <w:b/>
            <w:bCs/>
            <w:color w:val="0000FF"/>
            <w:sz w:val="24"/>
            <w:szCs w:val="24"/>
            <w:u w:val="single"/>
            <w:lang w:eastAsia="lv-LV"/>
          </w:rPr>
          <w:t>Sustainability:</w:t>
        </w:r>
      </w:hyperlink>
      <w:r w:rsidR="00573CCD" w:rsidRPr="00573CCD">
        <w:rPr>
          <w:rFonts w:ascii="Times New Roman" w:eastAsia="Times New Roman" w:hAnsi="Times New Roman" w:cs="Times New Roman"/>
          <w:sz w:val="24"/>
          <w:szCs w:val="24"/>
          <w:lang w:eastAsia="lv-LV"/>
        </w:rPr>
        <w:t> This wood species is not listed in the CITES Appendices, and is reported by the IUCN as being a species of least concern.</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1" w:history="1">
        <w:r w:rsidR="00573CCD" w:rsidRPr="00573CCD">
          <w:rPr>
            <w:rFonts w:ascii="Times New Roman" w:eastAsia="Times New Roman" w:hAnsi="Times New Roman" w:cs="Times New Roman"/>
            <w:b/>
            <w:bCs/>
            <w:color w:val="0000FF"/>
            <w:sz w:val="24"/>
            <w:szCs w:val="24"/>
            <w:u w:val="single"/>
            <w:lang w:eastAsia="lv-LV"/>
          </w:rPr>
          <w:t>Common Uses:</w:t>
        </w:r>
      </w:hyperlink>
      <w:r w:rsidR="00573CCD" w:rsidRPr="00573CCD">
        <w:rPr>
          <w:rFonts w:ascii="Times New Roman" w:eastAsia="Times New Roman" w:hAnsi="Times New Roman" w:cs="Times New Roman"/>
          <w:sz w:val="24"/>
          <w:szCs w:val="24"/>
          <w:lang w:eastAsia="lv-LV"/>
        </w:rPr>
        <w:t xml:space="preserve"> Veneer, utility poles, fence posts, flooring, boatbuilding, and construction lumber.</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2" w:history="1">
        <w:r w:rsidR="00573CCD" w:rsidRPr="00573CCD">
          <w:rPr>
            <w:rFonts w:ascii="Times New Roman" w:eastAsia="Times New Roman" w:hAnsi="Times New Roman" w:cs="Times New Roman"/>
            <w:b/>
            <w:bCs/>
            <w:color w:val="0000FF"/>
            <w:sz w:val="24"/>
            <w:szCs w:val="24"/>
            <w:u w:val="single"/>
            <w:lang w:eastAsia="lv-LV"/>
          </w:rPr>
          <w:t>Comments:</w:t>
        </w:r>
      </w:hyperlink>
      <w:r w:rsidR="00573CCD" w:rsidRPr="00573CCD">
        <w:rPr>
          <w:rFonts w:ascii="Times New Roman" w:eastAsia="Times New Roman" w:hAnsi="Times New Roman" w:cs="Times New Roman"/>
          <w:sz w:val="24"/>
          <w:szCs w:val="24"/>
          <w:lang w:eastAsia="lv-LV"/>
        </w:rPr>
        <w:t xml:space="preserve"> Even though European Larch is a conifer, it’s deciduous—it looses its leaves (needles) in the fall—and can have a pleasing growth form that somewhat resembles a branching gymnosperm. The trees are commonly planted as ornamental trees in Europe.</w:t>
      </w:r>
    </w:p>
    <w:p w:rsidR="00573CCD" w:rsidRPr="00573CCD" w:rsidRDefault="00573CCD" w:rsidP="00573CC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lang w:eastAsia="lv-LV"/>
        </w:rPr>
        <w:t>Ammonia fuming larch produces a darker colored wood surface; “fumed larch” veneer is sometimes used as a decorative veneer.</w:t>
      </w:r>
    </w:p>
    <w:p w:rsidR="00573CCD" w:rsidRPr="00573CCD" w:rsidRDefault="008853E0"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3" w:history="1">
        <w:r w:rsidR="00573CCD" w:rsidRPr="00573CCD">
          <w:rPr>
            <w:rFonts w:ascii="Times New Roman" w:eastAsia="Times New Roman" w:hAnsi="Times New Roman" w:cs="Times New Roman"/>
            <w:b/>
            <w:bCs/>
            <w:color w:val="0000FF"/>
            <w:sz w:val="24"/>
            <w:szCs w:val="24"/>
            <w:u w:val="single"/>
            <w:lang w:eastAsia="lv-LV"/>
          </w:rPr>
          <w:t>Related Species:</w:t>
        </w:r>
      </w:hyperlink>
    </w:p>
    <w:p w:rsidR="00573CCD" w:rsidRPr="00573CCD" w:rsidRDefault="008853E0" w:rsidP="00573CCD">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lv-LV"/>
        </w:rPr>
      </w:pPr>
      <w:hyperlink r:id="rId34" w:history="1">
        <w:r w:rsidR="00573CCD" w:rsidRPr="00573CCD">
          <w:rPr>
            <w:rFonts w:ascii="Times New Roman" w:eastAsia="Times New Roman" w:hAnsi="Times New Roman" w:cs="Times New Roman"/>
            <w:b/>
            <w:bCs/>
            <w:color w:val="0000FF"/>
            <w:sz w:val="24"/>
            <w:szCs w:val="24"/>
            <w:u w:val="single"/>
            <w:lang w:eastAsia="lv-LV"/>
          </w:rPr>
          <w:t>Japanese Larch</w:t>
        </w:r>
        <w:r w:rsidR="00573CCD" w:rsidRPr="00573CCD">
          <w:rPr>
            <w:rFonts w:ascii="Times New Roman" w:eastAsia="Times New Roman" w:hAnsi="Times New Roman" w:cs="Times New Roman"/>
            <w:color w:val="0000FF"/>
            <w:sz w:val="24"/>
            <w:szCs w:val="24"/>
            <w:u w:val="single"/>
            <w:lang w:eastAsia="lv-LV"/>
          </w:rPr>
          <w:t xml:space="preserve"> (Larix kaempferi)</w:t>
        </w:r>
      </w:hyperlink>
    </w:p>
    <w:p w:rsidR="00573CCD" w:rsidRDefault="008853E0" w:rsidP="00573CCD">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lv-LV"/>
        </w:rPr>
      </w:pPr>
      <w:hyperlink r:id="rId35" w:history="1">
        <w:r w:rsidR="00573CCD" w:rsidRPr="00573CCD">
          <w:rPr>
            <w:rFonts w:ascii="Times New Roman" w:eastAsia="Times New Roman" w:hAnsi="Times New Roman" w:cs="Times New Roman"/>
            <w:b/>
            <w:bCs/>
            <w:color w:val="0000FF"/>
            <w:sz w:val="24"/>
            <w:szCs w:val="24"/>
            <w:u w:val="single"/>
            <w:lang w:eastAsia="lv-LV"/>
          </w:rPr>
          <w:t xml:space="preserve">Western Larch </w:t>
        </w:r>
        <w:r w:rsidR="00573CCD" w:rsidRPr="00573CCD">
          <w:rPr>
            <w:rFonts w:ascii="Times New Roman" w:eastAsia="Times New Roman" w:hAnsi="Times New Roman" w:cs="Times New Roman"/>
            <w:color w:val="0000FF"/>
            <w:sz w:val="24"/>
            <w:szCs w:val="24"/>
            <w:u w:val="single"/>
            <w:lang w:eastAsia="lv-LV"/>
          </w:rPr>
          <w:t>(Larix occidentalis)</w:t>
        </w:r>
      </w:hyperlink>
    </w:p>
    <w:p w:rsidR="00573CCD" w:rsidRDefault="00573CCD" w:rsidP="00573CCD">
      <w:pPr>
        <w:spacing w:before="100" w:beforeAutospacing="1" w:after="100" w:afterAutospacing="1" w:line="240" w:lineRule="auto"/>
        <w:ind w:left="1440"/>
        <w:rPr>
          <w:rFonts w:ascii="Times New Roman" w:eastAsia="Times New Roman" w:hAnsi="Times New Roman" w:cs="Times New Roman"/>
          <w:sz w:val="24"/>
          <w:szCs w:val="24"/>
          <w:lang w:eastAsia="lv-LV"/>
        </w:rPr>
      </w:pPr>
    </w:p>
    <w:p w:rsidR="00573CCD" w:rsidRPr="00573CCD" w:rsidRDefault="008853E0" w:rsidP="00573CCD">
      <w:pPr>
        <w:spacing w:before="100" w:beforeAutospacing="1" w:after="100" w:afterAutospacing="1" w:line="240" w:lineRule="auto"/>
        <w:ind w:left="14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More information: </w:t>
      </w:r>
    </w:p>
    <w:p w:rsidR="00573CCD" w:rsidRPr="00910642" w:rsidRDefault="008853E0" w:rsidP="00910642">
      <w:pPr>
        <w:spacing w:after="0" w:line="240" w:lineRule="auto"/>
        <w:rPr>
          <w:rFonts w:ascii="Arial" w:eastAsia="Times New Roman" w:hAnsi="Arial" w:cs="Arial"/>
          <w:sz w:val="20"/>
          <w:szCs w:val="20"/>
          <w:lang w:eastAsia="lv-LV"/>
        </w:rPr>
      </w:pPr>
      <w:hyperlink r:id="rId36" w:history="1">
        <w:r w:rsidR="00573CCD" w:rsidRPr="00D520B9">
          <w:rPr>
            <w:rStyle w:val="Hyperlink"/>
            <w:rFonts w:ascii="Arial" w:eastAsia="Times New Roman" w:hAnsi="Arial" w:cs="Arial"/>
            <w:sz w:val="20"/>
            <w:szCs w:val="20"/>
            <w:lang w:eastAsia="lv-LV"/>
          </w:rPr>
          <w:t>http://www.wood-database.com/lumber-identification/softwoods/european-larch/</w:t>
        </w:r>
      </w:hyperlink>
      <w:r w:rsidR="00573CCD">
        <w:rPr>
          <w:rFonts w:ascii="Arial" w:eastAsia="Times New Roman" w:hAnsi="Arial" w:cs="Arial"/>
          <w:sz w:val="20"/>
          <w:szCs w:val="20"/>
          <w:lang w:eastAsia="lv-LV"/>
        </w:rPr>
        <w:t xml:space="preserve"> </w:t>
      </w:r>
    </w:p>
    <w:sectPr w:rsidR="00573CCD" w:rsidRPr="009106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D1173"/>
    <w:multiLevelType w:val="multilevel"/>
    <w:tmpl w:val="2192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42"/>
    <w:rsid w:val="00573CCD"/>
    <w:rsid w:val="00825ACD"/>
    <w:rsid w:val="008853E0"/>
    <w:rsid w:val="00910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763138-9CDF-427D-8072-3E0B608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CCD"/>
    <w:rPr>
      <w:color w:val="0563C1" w:themeColor="hyperlink"/>
      <w:u w:val="single"/>
    </w:rPr>
  </w:style>
  <w:style w:type="paragraph" w:styleId="BalloonText">
    <w:name w:val="Balloon Text"/>
    <w:basedOn w:val="Normal"/>
    <w:link w:val="BalloonTextChar"/>
    <w:uiPriority w:val="99"/>
    <w:semiHidden/>
    <w:unhideWhenUsed/>
    <w:rsid w:val="00573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1978">
      <w:bodyDiv w:val="1"/>
      <w:marLeft w:val="0"/>
      <w:marRight w:val="0"/>
      <w:marTop w:val="0"/>
      <w:marBottom w:val="0"/>
      <w:divBdr>
        <w:top w:val="none" w:sz="0" w:space="0" w:color="auto"/>
        <w:left w:val="none" w:sz="0" w:space="0" w:color="auto"/>
        <w:bottom w:val="none" w:sz="0" w:space="0" w:color="auto"/>
        <w:right w:val="none" w:sz="0" w:space="0" w:color="auto"/>
      </w:divBdr>
      <w:divsChild>
        <w:div w:id="1991589061">
          <w:marLeft w:val="0"/>
          <w:marRight w:val="0"/>
          <w:marTop w:val="0"/>
          <w:marBottom w:val="0"/>
          <w:divBdr>
            <w:top w:val="none" w:sz="0" w:space="0" w:color="auto"/>
            <w:left w:val="none" w:sz="0" w:space="0" w:color="auto"/>
            <w:bottom w:val="none" w:sz="0" w:space="0" w:color="auto"/>
            <w:right w:val="none" w:sz="0" w:space="0" w:color="auto"/>
          </w:divBdr>
        </w:div>
        <w:div w:id="2126340387">
          <w:marLeft w:val="0"/>
          <w:marRight w:val="0"/>
          <w:marTop w:val="0"/>
          <w:marBottom w:val="0"/>
          <w:divBdr>
            <w:top w:val="none" w:sz="0" w:space="0" w:color="auto"/>
            <w:left w:val="none" w:sz="0" w:space="0" w:color="auto"/>
            <w:bottom w:val="none" w:sz="0" w:space="0" w:color="auto"/>
            <w:right w:val="none" w:sz="0" w:space="0" w:color="auto"/>
          </w:divBdr>
        </w:div>
        <w:div w:id="495730405">
          <w:marLeft w:val="0"/>
          <w:marRight w:val="0"/>
          <w:marTop w:val="0"/>
          <w:marBottom w:val="0"/>
          <w:divBdr>
            <w:top w:val="none" w:sz="0" w:space="0" w:color="auto"/>
            <w:left w:val="none" w:sz="0" w:space="0" w:color="auto"/>
            <w:bottom w:val="none" w:sz="0" w:space="0" w:color="auto"/>
            <w:right w:val="none" w:sz="0" w:space="0" w:color="auto"/>
          </w:divBdr>
        </w:div>
        <w:div w:id="1817525341">
          <w:marLeft w:val="0"/>
          <w:marRight w:val="0"/>
          <w:marTop w:val="0"/>
          <w:marBottom w:val="0"/>
          <w:divBdr>
            <w:top w:val="none" w:sz="0" w:space="0" w:color="auto"/>
            <w:left w:val="none" w:sz="0" w:space="0" w:color="auto"/>
            <w:bottom w:val="none" w:sz="0" w:space="0" w:color="auto"/>
            <w:right w:val="none" w:sz="0" w:space="0" w:color="auto"/>
          </w:divBdr>
        </w:div>
        <w:div w:id="1440490518">
          <w:marLeft w:val="0"/>
          <w:marRight w:val="0"/>
          <w:marTop w:val="0"/>
          <w:marBottom w:val="0"/>
          <w:divBdr>
            <w:top w:val="none" w:sz="0" w:space="0" w:color="auto"/>
            <w:left w:val="none" w:sz="0" w:space="0" w:color="auto"/>
            <w:bottom w:val="none" w:sz="0" w:space="0" w:color="auto"/>
            <w:right w:val="none" w:sz="0" w:space="0" w:color="auto"/>
          </w:divBdr>
        </w:div>
        <w:div w:id="1708412607">
          <w:marLeft w:val="0"/>
          <w:marRight w:val="0"/>
          <w:marTop w:val="0"/>
          <w:marBottom w:val="0"/>
          <w:divBdr>
            <w:top w:val="none" w:sz="0" w:space="0" w:color="auto"/>
            <w:left w:val="none" w:sz="0" w:space="0" w:color="auto"/>
            <w:bottom w:val="none" w:sz="0" w:space="0" w:color="auto"/>
            <w:right w:val="none" w:sz="0" w:space="0" w:color="auto"/>
          </w:divBdr>
        </w:div>
        <w:div w:id="255410701">
          <w:marLeft w:val="0"/>
          <w:marRight w:val="0"/>
          <w:marTop w:val="0"/>
          <w:marBottom w:val="0"/>
          <w:divBdr>
            <w:top w:val="none" w:sz="0" w:space="0" w:color="auto"/>
            <w:left w:val="none" w:sz="0" w:space="0" w:color="auto"/>
            <w:bottom w:val="none" w:sz="0" w:space="0" w:color="auto"/>
            <w:right w:val="none" w:sz="0" w:space="0" w:color="auto"/>
          </w:divBdr>
        </w:div>
        <w:div w:id="1981572644">
          <w:marLeft w:val="0"/>
          <w:marRight w:val="0"/>
          <w:marTop w:val="0"/>
          <w:marBottom w:val="0"/>
          <w:divBdr>
            <w:top w:val="none" w:sz="0" w:space="0" w:color="auto"/>
            <w:left w:val="none" w:sz="0" w:space="0" w:color="auto"/>
            <w:bottom w:val="none" w:sz="0" w:space="0" w:color="auto"/>
            <w:right w:val="none" w:sz="0" w:space="0" w:color="auto"/>
          </w:divBdr>
        </w:div>
        <w:div w:id="663627475">
          <w:marLeft w:val="0"/>
          <w:marRight w:val="0"/>
          <w:marTop w:val="0"/>
          <w:marBottom w:val="0"/>
          <w:divBdr>
            <w:top w:val="none" w:sz="0" w:space="0" w:color="auto"/>
            <w:left w:val="none" w:sz="0" w:space="0" w:color="auto"/>
            <w:bottom w:val="none" w:sz="0" w:space="0" w:color="auto"/>
            <w:right w:val="none" w:sz="0" w:space="0" w:color="auto"/>
          </w:divBdr>
        </w:div>
        <w:div w:id="1939559166">
          <w:marLeft w:val="0"/>
          <w:marRight w:val="0"/>
          <w:marTop w:val="0"/>
          <w:marBottom w:val="0"/>
          <w:divBdr>
            <w:top w:val="none" w:sz="0" w:space="0" w:color="auto"/>
            <w:left w:val="none" w:sz="0" w:space="0" w:color="auto"/>
            <w:bottom w:val="none" w:sz="0" w:space="0" w:color="auto"/>
            <w:right w:val="none" w:sz="0" w:space="0" w:color="auto"/>
          </w:divBdr>
        </w:div>
        <w:div w:id="1743600842">
          <w:marLeft w:val="0"/>
          <w:marRight w:val="0"/>
          <w:marTop w:val="0"/>
          <w:marBottom w:val="0"/>
          <w:divBdr>
            <w:top w:val="none" w:sz="0" w:space="0" w:color="auto"/>
            <w:left w:val="none" w:sz="0" w:space="0" w:color="auto"/>
            <w:bottom w:val="none" w:sz="0" w:space="0" w:color="auto"/>
            <w:right w:val="none" w:sz="0" w:space="0" w:color="auto"/>
          </w:divBdr>
        </w:div>
      </w:divsChild>
    </w:div>
    <w:div w:id="924920862">
      <w:bodyDiv w:val="1"/>
      <w:marLeft w:val="0"/>
      <w:marRight w:val="0"/>
      <w:marTop w:val="0"/>
      <w:marBottom w:val="0"/>
      <w:divBdr>
        <w:top w:val="none" w:sz="0" w:space="0" w:color="auto"/>
        <w:left w:val="none" w:sz="0" w:space="0" w:color="auto"/>
        <w:bottom w:val="none" w:sz="0" w:space="0" w:color="auto"/>
        <w:right w:val="none" w:sz="0" w:space="0" w:color="auto"/>
      </w:divBdr>
      <w:divsChild>
        <w:div w:id="510604292">
          <w:marLeft w:val="0"/>
          <w:marRight w:val="0"/>
          <w:marTop w:val="0"/>
          <w:marBottom w:val="0"/>
          <w:divBdr>
            <w:top w:val="none" w:sz="0" w:space="0" w:color="auto"/>
            <w:left w:val="none" w:sz="0" w:space="0" w:color="auto"/>
            <w:bottom w:val="none" w:sz="0" w:space="0" w:color="auto"/>
            <w:right w:val="none" w:sz="0" w:space="0" w:color="auto"/>
          </w:divBdr>
          <w:divsChild>
            <w:div w:id="419956554">
              <w:marLeft w:val="0"/>
              <w:marRight w:val="0"/>
              <w:marTop w:val="0"/>
              <w:marBottom w:val="0"/>
              <w:divBdr>
                <w:top w:val="none" w:sz="0" w:space="0" w:color="auto"/>
                <w:left w:val="none" w:sz="0" w:space="0" w:color="auto"/>
                <w:bottom w:val="none" w:sz="0" w:space="0" w:color="auto"/>
                <w:right w:val="none" w:sz="0" w:space="0" w:color="auto"/>
              </w:divBdr>
              <w:divsChild>
                <w:div w:id="62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604">
          <w:marLeft w:val="0"/>
          <w:marRight w:val="0"/>
          <w:marTop w:val="0"/>
          <w:marBottom w:val="0"/>
          <w:divBdr>
            <w:top w:val="none" w:sz="0" w:space="0" w:color="auto"/>
            <w:left w:val="none" w:sz="0" w:space="0" w:color="auto"/>
            <w:bottom w:val="none" w:sz="0" w:space="0" w:color="auto"/>
            <w:right w:val="none" w:sz="0" w:space="0" w:color="auto"/>
          </w:divBdr>
          <w:divsChild>
            <w:div w:id="140775015">
              <w:marLeft w:val="0"/>
              <w:marRight w:val="0"/>
              <w:marTop w:val="0"/>
              <w:marBottom w:val="0"/>
              <w:divBdr>
                <w:top w:val="none" w:sz="0" w:space="0" w:color="auto"/>
                <w:left w:val="none" w:sz="0" w:space="0" w:color="auto"/>
                <w:bottom w:val="none" w:sz="0" w:space="0" w:color="auto"/>
                <w:right w:val="none" w:sz="0" w:space="0" w:color="auto"/>
              </w:divBdr>
              <w:divsChild>
                <w:div w:id="263809071">
                  <w:marLeft w:val="0"/>
                  <w:marRight w:val="0"/>
                  <w:marTop w:val="0"/>
                  <w:marBottom w:val="0"/>
                  <w:divBdr>
                    <w:top w:val="none" w:sz="0" w:space="0" w:color="auto"/>
                    <w:left w:val="none" w:sz="0" w:space="0" w:color="auto"/>
                    <w:bottom w:val="none" w:sz="0" w:space="0" w:color="auto"/>
                    <w:right w:val="none" w:sz="0" w:space="0" w:color="auto"/>
                  </w:divBdr>
                  <w:divsChild>
                    <w:div w:id="1282037379">
                      <w:marLeft w:val="0"/>
                      <w:marRight w:val="0"/>
                      <w:marTop w:val="0"/>
                      <w:marBottom w:val="0"/>
                      <w:divBdr>
                        <w:top w:val="none" w:sz="0" w:space="0" w:color="auto"/>
                        <w:left w:val="none" w:sz="0" w:space="0" w:color="auto"/>
                        <w:bottom w:val="none" w:sz="0" w:space="0" w:color="auto"/>
                        <w:right w:val="none" w:sz="0" w:space="0" w:color="auto"/>
                      </w:divBdr>
                      <w:divsChild>
                        <w:div w:id="2016954715">
                          <w:marLeft w:val="0"/>
                          <w:marRight w:val="0"/>
                          <w:marTop w:val="0"/>
                          <w:marBottom w:val="0"/>
                          <w:divBdr>
                            <w:top w:val="none" w:sz="0" w:space="0" w:color="auto"/>
                            <w:left w:val="none" w:sz="0" w:space="0" w:color="auto"/>
                            <w:bottom w:val="none" w:sz="0" w:space="0" w:color="auto"/>
                            <w:right w:val="none" w:sz="0" w:space="0" w:color="auto"/>
                          </w:divBdr>
                          <w:divsChild>
                            <w:div w:id="228922232">
                              <w:marLeft w:val="0"/>
                              <w:marRight w:val="0"/>
                              <w:marTop w:val="0"/>
                              <w:marBottom w:val="0"/>
                              <w:divBdr>
                                <w:top w:val="none" w:sz="0" w:space="0" w:color="auto"/>
                                <w:left w:val="none" w:sz="0" w:space="0" w:color="auto"/>
                                <w:bottom w:val="none" w:sz="0" w:space="0" w:color="auto"/>
                                <w:right w:val="none" w:sz="0" w:space="0" w:color="auto"/>
                              </w:divBdr>
                            </w:div>
                            <w:div w:id="176996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9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2334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34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70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8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064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9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8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881743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89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ood-database.com/wood-articles/average-dried-weight/" TargetMode="External"/><Relationship Id="rId18" Type="http://schemas.openxmlformats.org/officeDocument/2006/relationships/hyperlink" Target="http://www.wood-database.com/wood-articles/crushing-strength/" TargetMode="External"/><Relationship Id="rId26" Type="http://schemas.openxmlformats.org/officeDocument/2006/relationships/hyperlink" Target="http://www.wood-database.com/wood-identification/by-scientific-name/" TargetMode="External"/><Relationship Id="rId3" Type="http://schemas.openxmlformats.org/officeDocument/2006/relationships/settings" Target="settings.xml"/><Relationship Id="rId21" Type="http://schemas.openxmlformats.org/officeDocument/2006/relationships/hyperlink" Target="http://www.wood-database.com/wood-articles/wood-grain-texture/" TargetMode="External"/><Relationship Id="rId34" Type="http://schemas.openxmlformats.org/officeDocument/2006/relationships/hyperlink" Target="http://www.wood-database.com/lumber-identification/softwoods/japanese-larch/" TargetMode="External"/><Relationship Id="rId7" Type="http://schemas.openxmlformats.org/officeDocument/2006/relationships/hyperlink" Target="http://www.wood-database.com/wp-content/uploads/european-larch-s.jpg" TargetMode="External"/><Relationship Id="rId12" Type="http://schemas.openxmlformats.org/officeDocument/2006/relationships/hyperlink" Target="http://www.wood-database.com/wood-articles/tree-size/" TargetMode="External"/><Relationship Id="rId17" Type="http://schemas.openxmlformats.org/officeDocument/2006/relationships/hyperlink" Target="http://www.wood-database.com/wood-articles/modulus-of-elasticity/" TargetMode="External"/><Relationship Id="rId25" Type="http://schemas.openxmlformats.org/officeDocument/2006/relationships/hyperlink" Target="http://www.wood-database.com/wood-articles/wood-allergies-and-toxicity/" TargetMode="External"/><Relationship Id="rId33" Type="http://schemas.openxmlformats.org/officeDocument/2006/relationships/hyperlink" Target="http://www.wood-database.com/wood-articles/related-speci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od-database.com/wood-articles/modulus-of-rupture/" TargetMode="External"/><Relationship Id="rId20" Type="http://schemas.openxmlformats.org/officeDocument/2006/relationships/hyperlink" Target="http://www.wood-database.com/wood-articles/wood-color-appearance/" TargetMode="External"/><Relationship Id="rId29" Type="http://schemas.openxmlformats.org/officeDocument/2006/relationships/hyperlink" Target="http://www.wood-database.com/wood-articles/wood-pricing-availability/"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wood-database.com/wood-articles/distribution/" TargetMode="External"/><Relationship Id="rId24" Type="http://schemas.openxmlformats.org/officeDocument/2006/relationships/hyperlink" Target="http://www.wood-database.com/wood-articles/wood-odor/" TargetMode="External"/><Relationship Id="rId32" Type="http://schemas.openxmlformats.org/officeDocument/2006/relationships/hyperlink" Target="http://www.wood-database.com/wood-articles/comments/" TargetMode="External"/><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www.wood-database.com/wood-articles/janka-hardness/" TargetMode="External"/><Relationship Id="rId23" Type="http://schemas.openxmlformats.org/officeDocument/2006/relationships/hyperlink" Target="http://www.wood-database.com/wood-articles/wood-workability/" TargetMode="External"/><Relationship Id="rId28" Type="http://schemas.openxmlformats.org/officeDocument/2006/relationships/hyperlink" Target="http://www.wood-database.com/wood-articles/wood-dust-safety/" TargetMode="External"/><Relationship Id="rId36" Type="http://schemas.openxmlformats.org/officeDocument/2006/relationships/hyperlink" Target="http://www.wood-database.com/lumber-identification/softwoods/european-larch/" TargetMode="External"/><Relationship Id="rId10" Type="http://schemas.openxmlformats.org/officeDocument/2006/relationships/hyperlink" Target="http://www.wood-database.com/wood-articles/scientific-name/" TargetMode="External"/><Relationship Id="rId19" Type="http://schemas.openxmlformats.org/officeDocument/2006/relationships/hyperlink" Target="http://www.wood-database.com/wood-articles/dimensional-shrinkage/" TargetMode="External"/><Relationship Id="rId31" Type="http://schemas.openxmlformats.org/officeDocument/2006/relationships/hyperlink" Target="http://www.wood-database.com/wood-articles/common-uses/" TargetMode="External"/><Relationship Id="rId4" Type="http://schemas.openxmlformats.org/officeDocument/2006/relationships/webSettings" Target="webSettings.xml"/><Relationship Id="rId9" Type="http://schemas.openxmlformats.org/officeDocument/2006/relationships/hyperlink" Target="http://www.wood-database.com/wood-articles/common-name/" TargetMode="External"/><Relationship Id="rId14" Type="http://schemas.openxmlformats.org/officeDocument/2006/relationships/hyperlink" Target="http://www.wood-database.com/wood-articles/specific-gravity/" TargetMode="External"/><Relationship Id="rId22" Type="http://schemas.openxmlformats.org/officeDocument/2006/relationships/hyperlink" Target="http://www.wood-database.com/wood-articles/wood-durability/" TargetMode="External"/><Relationship Id="rId27" Type="http://schemas.openxmlformats.org/officeDocument/2006/relationships/hyperlink" Target="http://www.wood-database.com/wood-articles/wood-allergies-and-toxicity/" TargetMode="External"/><Relationship Id="rId30" Type="http://schemas.openxmlformats.org/officeDocument/2006/relationships/hyperlink" Target="http://www.wood-database.com/wood-articles/restricted-and-endangered-wood-species/" TargetMode="External"/><Relationship Id="rId35" Type="http://schemas.openxmlformats.org/officeDocument/2006/relationships/hyperlink" Target="http://www.wood-database.com/lumber-identification/softwoods/western-larc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5257</Words>
  <Characters>2998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2013-12-04T18:39:00Z</cp:lastPrinted>
  <dcterms:created xsi:type="dcterms:W3CDTF">2013-12-04T16:44:00Z</dcterms:created>
  <dcterms:modified xsi:type="dcterms:W3CDTF">2014-04-09T12:56:00Z</dcterms:modified>
</cp:coreProperties>
</file>