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3A" w:rsidRPr="0095643A" w:rsidRDefault="0095643A" w:rsidP="00DE40EC">
      <w:pPr>
        <w:spacing w:after="90" w:line="240" w:lineRule="auto"/>
        <w:outlineLvl w:val="0"/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Kuldīgas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Tehnoloģiju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un</w:t>
      </w:r>
      <w:proofErr w:type="gram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tūrisma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tehnikuma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latviešu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valodas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skolotājas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Zandas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Šlegelmilhas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sagatavotais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mācību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materials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leksikoloģijas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apguvei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>topošajiem</w:t>
      </w:r>
      <w:proofErr w:type="spellEnd"/>
      <w:r>
        <w:rPr>
          <w:rFonts w:ascii="Arial" w:eastAsia="Times New Roman" w:hAnsi="Arial" w:cs="Arial"/>
          <w:bCs/>
          <w:color w:val="3B3B3B"/>
          <w:kern w:val="36"/>
          <w:sz w:val="24"/>
          <w:szCs w:val="24"/>
          <w:lang w:eastAsia="en-GB"/>
        </w:rPr>
        <w:t xml:space="preserve"> automehāniķiem.</w:t>
      </w:r>
      <w:bookmarkStart w:id="0" w:name="_GoBack"/>
      <w:bookmarkEnd w:id="0"/>
    </w:p>
    <w:p w:rsidR="0095643A" w:rsidRDefault="0095643A" w:rsidP="00DE40EC">
      <w:pPr>
        <w:spacing w:after="90" w:line="240" w:lineRule="auto"/>
        <w:outlineLvl w:val="0"/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Uzdevums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par </w:t>
      </w: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terminiem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.</w:t>
      </w:r>
    </w:p>
    <w:p w:rsidR="00DE40EC" w:rsidRDefault="00DE40EC" w:rsidP="00DE40EC">
      <w:pPr>
        <w:spacing w:after="90" w:line="240" w:lineRule="auto"/>
        <w:outlineLvl w:val="0"/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</w:pP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Sameklē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tekstā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un</w:t>
      </w:r>
      <w:proofErr w:type="gram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izraksti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skaidrojumiem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atbilstošos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vārdus</w:t>
      </w:r>
      <w:proofErr w:type="spellEnd"/>
      <w:r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  <w:t>!</w:t>
      </w:r>
    </w:p>
    <w:p w:rsidR="0095643A" w:rsidRDefault="0095643A" w:rsidP="00DE40EC">
      <w:pPr>
        <w:spacing w:after="90" w:line="240" w:lineRule="auto"/>
        <w:outlineLvl w:val="0"/>
        <w:rPr>
          <w:rFonts w:ascii="Arial" w:eastAsia="Times New Roman" w:hAnsi="Arial" w:cs="Arial"/>
          <w:b/>
          <w:bCs/>
          <w:color w:val="3B3B3B"/>
          <w:kern w:val="36"/>
          <w:sz w:val="28"/>
          <w:szCs w:val="28"/>
          <w:lang w:eastAsia="en-GB"/>
        </w:rPr>
      </w:pPr>
    </w:p>
    <w:p w:rsidR="00DE40EC" w:rsidRPr="0066788B" w:rsidRDefault="00DE40EC" w:rsidP="00DE40EC">
      <w:pPr>
        <w:spacing w:after="0" w:line="270" w:lineRule="atLeast"/>
        <w:rPr>
          <w:rFonts w:ascii="Verdana" w:eastAsia="Times New Roman" w:hAnsi="Verdana"/>
          <w:b/>
          <w:i/>
          <w:sz w:val="20"/>
          <w:szCs w:val="20"/>
          <w:lang w:eastAsia="en-GB"/>
        </w:rPr>
      </w:pPr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 xml:space="preserve">1. </w:t>
      </w:r>
      <w:proofErr w:type="spellStart"/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>Gada</w:t>
      </w:r>
      <w:proofErr w:type="spellEnd"/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 xml:space="preserve"> </w:t>
      </w:r>
      <w:proofErr w:type="spellStart"/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>trešais</w:t>
      </w:r>
      <w:proofErr w:type="spellEnd"/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 xml:space="preserve"> </w:t>
      </w:r>
      <w:proofErr w:type="spellStart"/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>mēnesis</w:t>
      </w:r>
      <w:proofErr w:type="spellEnd"/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eastAsia="Times New Roman" w:hAnsi="Verdana"/>
          <w:b/>
          <w:i/>
          <w:sz w:val="20"/>
          <w:szCs w:val="20"/>
          <w:lang w:eastAsia="en-GB"/>
        </w:rPr>
        <w:t>2.</w:t>
      </w: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Uzrādīt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iesniegt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;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arī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pasniegt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DE40EC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DE40EC">
        <w:rPr>
          <w:rFonts w:ascii="Verdana" w:hAnsi="Verdana"/>
          <w:b/>
          <w:bCs/>
          <w:i/>
          <w:iCs/>
          <w:sz w:val="20"/>
          <w:szCs w:val="20"/>
        </w:rPr>
        <w:t xml:space="preserve">3. </w:t>
      </w:r>
      <w:hyperlink r:id="rId5" w:history="1">
        <w:proofErr w:type="spellStart"/>
        <w:r w:rsidRPr="00DE40EC">
          <w:rPr>
            <w:rStyle w:val="Hyperlink"/>
            <w:rFonts w:ascii="Verdana" w:hAnsi="Verdana"/>
            <w:b/>
            <w:bCs/>
            <w:i/>
            <w:iCs/>
            <w:color w:val="auto"/>
            <w:sz w:val="20"/>
            <w:szCs w:val="20"/>
            <w:u w:val="none"/>
          </w:rPr>
          <w:t>Paveids</w:t>
        </w:r>
        <w:proofErr w:type="spellEnd"/>
      </w:hyperlink>
      <w:r w:rsidRPr="00DE40EC">
        <w:rPr>
          <w:rFonts w:ascii="Verdana" w:hAnsi="Verdana"/>
          <w:b/>
          <w:bCs/>
          <w:i/>
          <w:iCs/>
          <w:sz w:val="20"/>
          <w:szCs w:val="20"/>
        </w:rPr>
        <w:t>,</w:t>
      </w:r>
      <w:r w:rsidRPr="00DE40EC">
        <w:rPr>
          <w:rStyle w:val="apple-converted-space"/>
          <w:rFonts w:ascii="Verdana" w:hAnsi="Verdana"/>
          <w:b/>
          <w:bCs/>
          <w:i/>
          <w:iCs/>
          <w:sz w:val="20"/>
          <w:szCs w:val="20"/>
        </w:rPr>
        <w:t> </w:t>
      </w:r>
      <w:proofErr w:type="spellStart"/>
      <w:r w:rsidRPr="00DE40EC">
        <w:rPr>
          <w:rFonts w:ascii="Verdana" w:hAnsi="Verdana"/>
          <w:b/>
          <w:bCs/>
          <w:i/>
          <w:iCs/>
          <w:sz w:val="20"/>
          <w:szCs w:val="20"/>
        </w:rPr>
        <w:fldChar w:fldCharType="begin"/>
      </w:r>
      <w:r w:rsidRPr="00DE40EC">
        <w:rPr>
          <w:rFonts w:ascii="Verdana" w:hAnsi="Verdana"/>
          <w:b/>
          <w:bCs/>
          <w:i/>
          <w:iCs/>
          <w:sz w:val="20"/>
          <w:szCs w:val="20"/>
        </w:rPr>
        <w:instrText xml:space="preserve"> HYPERLINK "http://www.tezaurs.lv/sv/?w=vari%C4%81cija" </w:instrText>
      </w:r>
      <w:r w:rsidRPr="00DE40EC">
        <w:rPr>
          <w:rFonts w:ascii="Verdana" w:hAnsi="Verdana"/>
          <w:b/>
          <w:bCs/>
          <w:i/>
          <w:iCs/>
          <w:sz w:val="20"/>
          <w:szCs w:val="20"/>
        </w:rPr>
        <w:fldChar w:fldCharType="separate"/>
      </w:r>
      <w:r w:rsidRPr="00DE40EC">
        <w:rPr>
          <w:rStyle w:val="Hyperlink"/>
          <w:rFonts w:ascii="Verdana" w:hAnsi="Verdana"/>
          <w:b/>
          <w:bCs/>
          <w:i/>
          <w:iCs/>
          <w:color w:val="auto"/>
          <w:sz w:val="20"/>
          <w:szCs w:val="20"/>
          <w:u w:val="none"/>
        </w:rPr>
        <w:t>variācija</w:t>
      </w:r>
      <w:proofErr w:type="spellEnd"/>
      <w:r w:rsidRPr="00DE40EC">
        <w:rPr>
          <w:rFonts w:ascii="Verdana" w:hAnsi="Verdana"/>
          <w:b/>
          <w:bCs/>
          <w:i/>
          <w:iCs/>
          <w:sz w:val="20"/>
          <w:szCs w:val="20"/>
        </w:rPr>
        <w:fldChar w:fldCharType="end"/>
      </w:r>
      <w:r w:rsidRPr="00DE40EC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4.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Kādas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mašīnas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transportlīdzekļa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u.tml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. </w:t>
      </w:r>
      <w:proofErr w:type="spellStart"/>
      <w:proofErr w:type="gramStart"/>
      <w:r w:rsidRPr="0066788B">
        <w:rPr>
          <w:rFonts w:ascii="Verdana" w:hAnsi="Verdana"/>
          <w:b/>
          <w:bCs/>
          <w:i/>
          <w:iCs/>
          <w:sz w:val="20"/>
          <w:szCs w:val="20"/>
        </w:rPr>
        <w:t>sākotnējais</w:t>
      </w:r>
      <w:proofErr w:type="spellEnd"/>
      <w:proofErr w:type="gram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vai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izmēģinājuma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modelis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5.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Bezsliežu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pašgājējs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transportlīdzeklis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pārvietojas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izmantojot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tajā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uzstādīto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enerģijas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avotu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6.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Noteiktam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sporta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veidam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speciāli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iekārtots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arī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dabisks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šī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sporta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veida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prasībām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atbilstošs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ceļš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;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attiecīgais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maršruts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7.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Atsevišķs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priekšmets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no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līdzīgu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priekšmetu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grupas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8.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Tāds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balstās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uz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tradīcijām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9.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Vienveidīgs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arī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ar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kopējām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pazīmēm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saistīts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(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piemēram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ražojumu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izdevumu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),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parasti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secīgs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kopums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virkne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95643A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10.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Ierīce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konstrukcija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pēc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kuras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parauga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veido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citu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ierīci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konstrukciju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.</w:t>
      </w:r>
    </w:p>
    <w:p w:rsidR="00DE40EC" w:rsidRPr="0095643A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11.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Sacensības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labākā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sportista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vai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labākās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komandas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noskaidrošanai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.</w:t>
      </w:r>
    </w:p>
    <w:p w:rsidR="00DE40EC" w:rsidRPr="0095643A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12.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Struktūra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uzbūve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iekārta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arī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veidojums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, forma (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celtnei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mašīnai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priekšmetam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vai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to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daļai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elementam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).</w:t>
      </w:r>
    </w:p>
    <w:p w:rsidR="00DE40EC" w:rsidRPr="0095643A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13.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Ķīmiskais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elements,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kas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dabā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tīrā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veidā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sastopams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kā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dimants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vai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grafīts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.</w:t>
      </w:r>
    </w:p>
    <w:p w:rsidR="00DE40EC" w:rsidRPr="0095643A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14.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Ļoti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slavens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izcils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piemēram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par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cilvēkiem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īpašībām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notikumiem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).</w:t>
      </w:r>
    </w:p>
    <w:p w:rsidR="00DE40EC" w:rsidRPr="0095643A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15. </w:t>
      </w:r>
      <w:hyperlink r:id="rId6" w:history="1">
        <w:proofErr w:type="spellStart"/>
        <w:r w:rsidRPr="0095643A">
          <w:rPr>
            <w:rStyle w:val="Hyperlink"/>
            <w:rFonts w:ascii="Verdana" w:hAnsi="Verdana"/>
            <w:b/>
            <w:bCs/>
            <w:i/>
            <w:iCs/>
            <w:color w:val="000000" w:themeColor="text1"/>
            <w:sz w:val="20"/>
            <w:szCs w:val="20"/>
            <w:u w:val="none"/>
          </w:rPr>
          <w:t>Doma</w:t>
        </w:r>
        <w:proofErr w:type="spellEnd"/>
      </w:hyperlink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,</w:t>
      </w:r>
      <w:r w:rsidRPr="0095643A">
        <w:rPr>
          <w:rStyle w:val="apple-converted-space"/>
          <w:rFonts w:ascii="Verdana" w:hAnsi="Verdana"/>
          <w:b/>
          <w:bCs/>
          <w:i/>
          <w:iCs/>
          <w:color w:val="000000" w:themeColor="text1"/>
          <w:sz w:val="20"/>
          <w:szCs w:val="20"/>
        </w:rPr>
        <w:t> 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begin"/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instrText xml:space="preserve"> HYPERLINK "http://www.tezaurs.lv/sv/?w=iecere" </w:instrText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Pr="0095643A">
        <w:rPr>
          <w:rStyle w:val="Hyperlink"/>
          <w:rFonts w:ascii="Verdana" w:hAnsi="Verdana"/>
          <w:b/>
          <w:bCs/>
          <w:i/>
          <w:iCs/>
          <w:color w:val="000000" w:themeColor="text1"/>
          <w:sz w:val="20"/>
          <w:szCs w:val="20"/>
          <w:u w:val="none"/>
        </w:rPr>
        <w:t>iecere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end"/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,</w:t>
      </w:r>
      <w:r w:rsidRPr="0095643A">
        <w:rPr>
          <w:rStyle w:val="apple-converted-space"/>
          <w:rFonts w:ascii="Verdana" w:hAnsi="Verdana"/>
          <w:b/>
          <w:bCs/>
          <w:i/>
          <w:iCs/>
          <w:color w:val="000000" w:themeColor="text1"/>
          <w:sz w:val="20"/>
          <w:szCs w:val="20"/>
        </w:rPr>
        <w:t> 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begin"/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instrText xml:space="preserve"> HYPERLINK "http://www.tezaurs.lv/sv/?w=nodoms" </w:instrText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Pr="0095643A">
        <w:rPr>
          <w:rStyle w:val="Hyperlink"/>
          <w:rFonts w:ascii="Verdana" w:hAnsi="Verdana"/>
          <w:b/>
          <w:bCs/>
          <w:i/>
          <w:iCs/>
          <w:color w:val="000000" w:themeColor="text1"/>
          <w:sz w:val="20"/>
          <w:szCs w:val="20"/>
          <w:u w:val="none"/>
        </w:rPr>
        <w:t>nodoms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end"/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,</w:t>
      </w:r>
      <w:r w:rsidRPr="0095643A">
        <w:rPr>
          <w:rStyle w:val="apple-converted-space"/>
          <w:rFonts w:ascii="Verdana" w:hAnsi="Verdana"/>
          <w:b/>
          <w:bCs/>
          <w:i/>
          <w:iCs/>
          <w:color w:val="000000" w:themeColor="text1"/>
          <w:sz w:val="20"/>
          <w:szCs w:val="20"/>
        </w:rPr>
        <w:t> 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begin"/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instrText xml:space="preserve"> HYPERLINK "http://www.tezaurs.lv/sv/?w=pl%C4%81ns" </w:instrText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separate"/>
      </w:r>
      <w:r w:rsidRPr="0095643A">
        <w:rPr>
          <w:rStyle w:val="Hyperlink"/>
          <w:rFonts w:ascii="Verdana" w:hAnsi="Verdana"/>
          <w:b/>
          <w:bCs/>
          <w:i/>
          <w:iCs/>
          <w:color w:val="000000" w:themeColor="text1"/>
          <w:sz w:val="20"/>
          <w:szCs w:val="20"/>
          <w:u w:val="none"/>
        </w:rPr>
        <w:t>plāns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fldChar w:fldCharType="end"/>
      </w: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16.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Viens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no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vairākiem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atšķirīgiem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(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kāda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fakta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notikuma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 u.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tml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.) </w:t>
      </w:r>
      <w:proofErr w:type="spellStart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>aprakstiem</w:t>
      </w:r>
      <w:proofErr w:type="spellEnd"/>
      <w:r w:rsidRPr="0095643A">
        <w:rPr>
          <w:rFonts w:ascii="Verdana" w:hAnsi="Verdana"/>
          <w:b/>
          <w:bCs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skaidrojumiem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hAnsi="Verdana"/>
          <w:b/>
          <w:bCs/>
          <w:i/>
          <w:iCs/>
          <w:sz w:val="20"/>
          <w:szCs w:val="20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17. </w:t>
      </w:r>
      <w:r w:rsidRPr="0066788B">
        <w:rPr>
          <w:rStyle w:val="apple-converted-space"/>
          <w:rFonts w:ascii="Verdana" w:hAnsi="Verdana"/>
          <w:sz w:val="20"/>
          <w:szCs w:val="20"/>
        </w:rPr>
        <w:t> 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Fizikāls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lielums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raksturo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darbu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kuru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sistēma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(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piemēram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motors)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veic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vienā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laika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vienībā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66788B" w:rsidRDefault="00DE40EC" w:rsidP="00DE40EC">
      <w:pPr>
        <w:spacing w:after="0" w:line="270" w:lineRule="atLeast"/>
        <w:rPr>
          <w:rFonts w:ascii="Verdana" w:eastAsia="Times New Roman" w:hAnsi="Verdana"/>
          <w:sz w:val="20"/>
          <w:szCs w:val="20"/>
          <w:lang w:eastAsia="en-GB"/>
        </w:rPr>
      </w:pPr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18.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Vieglā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automobiļa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virsbūves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tips —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automobilis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ar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slīpu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mugurdaļu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,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kas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veidota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kā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 xml:space="preserve"> </w:t>
      </w:r>
      <w:proofErr w:type="spellStart"/>
      <w:r w:rsidRPr="0066788B">
        <w:rPr>
          <w:rFonts w:ascii="Verdana" w:hAnsi="Verdana"/>
          <w:b/>
          <w:bCs/>
          <w:i/>
          <w:iCs/>
          <w:sz w:val="20"/>
          <w:szCs w:val="20"/>
        </w:rPr>
        <w:t>durvis</w:t>
      </w:r>
      <w:proofErr w:type="spellEnd"/>
      <w:r w:rsidRPr="0066788B">
        <w:rPr>
          <w:rFonts w:ascii="Verdana" w:hAnsi="Verdana"/>
          <w:b/>
          <w:bCs/>
          <w:i/>
          <w:iCs/>
          <w:sz w:val="20"/>
          <w:szCs w:val="20"/>
        </w:rPr>
        <w:t>.</w:t>
      </w:r>
    </w:p>
    <w:p w:rsidR="00DE40EC" w:rsidRPr="00F60819" w:rsidRDefault="00DE40EC" w:rsidP="00DE40EC">
      <w:pPr>
        <w:spacing w:after="0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</w:p>
    <w:p w:rsidR="00DE40EC" w:rsidRPr="00F60819" w:rsidRDefault="00DE40EC" w:rsidP="00DE40EC">
      <w:pPr>
        <w:spacing w:after="0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Kompānija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"Opel" </w:t>
      </w:r>
      <w:proofErr w:type="spellStart"/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martā</w:t>
      </w:r>
      <w:proofErr w:type="spellEnd"/>
      <w:proofErr w:type="gram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notiekošajā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Ženēvas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autoizstādē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prezentēs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īpaši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sportisko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"Astra OPC Extreme"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modifikāciju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ieturēta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2002. </w:t>
      </w:r>
      <w:proofErr w:type="spellStart"/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gada</w:t>
      </w:r>
      <w:proofErr w:type="spellEnd"/>
      <w:proofErr w:type="gram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"Astra OPC X-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Treme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Co</w:t>
      </w:r>
      <w:r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ncept" </w:t>
      </w:r>
      <w:proofErr w:type="spellStart"/>
      <w:r>
        <w:rPr>
          <w:rFonts w:ascii="Verdana" w:eastAsia="Times New Roman" w:hAnsi="Verdana"/>
          <w:color w:val="000000"/>
          <w:sz w:val="20"/>
          <w:szCs w:val="20"/>
          <w:lang w:eastAsia="en-GB"/>
        </w:rPr>
        <w:t>stilā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spellStart"/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Tāpat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toreiz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arī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jaunais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prototips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radīts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īsteni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sportisks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automobilis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piemērots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gan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trasei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gan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koplietošanas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ceļiem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  <w:proofErr w:type="gramEnd"/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pirms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12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gadiem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sarkanais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"Opel Astra OPC X-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treme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bija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prototips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vienā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eksemplārā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tad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jaunais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"Extreme",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kuru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rotās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"Opel"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tradicionālais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motoru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sporta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krāsojums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tiks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ražots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skaitā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ierobežotā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sērijā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"Opel Astra OPC Extreme"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būs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visu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laiku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ātrākais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"Astra"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modelis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kuru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drīkst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izmantot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arī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ārpus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sacīkšu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trases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"Extreme"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modifikācija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būs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izgatavota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uz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"Astra OPC Cup"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sacīkšu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automobiļa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bāzes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kuru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tiek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startēts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arī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izturības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sacensību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čempionātā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Nirburgringā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  <w:proofErr w:type="gramEnd"/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lastRenderedPageBreak/>
        <w:t>Šīs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versijas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automobilī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masas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samazināšanas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nolūkos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konstrukcijā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būs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plaši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pielietota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oglekļa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šķiedra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tomēr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spēkrats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saglabās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drošības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rāmi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sacīkšu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sēdekļus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un</w:t>
      </w:r>
      <w:proofErr w:type="gram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sešu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punktu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drošības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jostas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lai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to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atbilstoši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varētu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braukt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arī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pa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trasi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Tieši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"Opel Performance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Center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",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atrodas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blakus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leģendārajai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Nirburgringas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sacīkšu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trasei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dzima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ideja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par "Astra OPC Extreme"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modifikāciju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.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Neraugoties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uz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to,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vai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būtu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Corsa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OPC", "Astra OPC"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vai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"Insignia OPC"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automobilis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visām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"Opel"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sportiskajām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versijām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jau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minētajā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trasē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paaugstinātas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grūtības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apstākļos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veiksmīgi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jānokārto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liela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ātruma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10 000 km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izturības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testa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programma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.</w:t>
      </w:r>
    </w:p>
    <w:p w:rsidR="00DE40EC" w:rsidRPr="00F60819" w:rsidRDefault="00DE40EC" w:rsidP="00DE40EC">
      <w:pPr>
        <w:spacing w:before="100" w:beforeAutospacing="1" w:after="100" w:afterAutospacing="1" w:line="270" w:lineRule="atLeast"/>
        <w:rPr>
          <w:rFonts w:ascii="Verdana" w:eastAsia="Times New Roman" w:hAnsi="Verdana"/>
          <w:color w:val="000000"/>
          <w:sz w:val="20"/>
          <w:szCs w:val="20"/>
          <w:lang w:eastAsia="en-GB"/>
        </w:rPr>
      </w:pP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Atgādinām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standarta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"Opel Astra OPC"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ir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aprīkots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ar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divlitru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turbopūtes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benzīna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dzinēju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,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kas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attīsta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280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zirgspēku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jaudu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un</w:t>
      </w:r>
      <w:proofErr w:type="gram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400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ņūtonmetru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griezes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momentu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.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Līdz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100 km/h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sportiskais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hečbeks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paātrinās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sešās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sekundēs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gram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un</w:t>
      </w:r>
      <w:proofErr w:type="gram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maksimāli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</w:t>
      </w:r>
      <w:proofErr w:type="spellStart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>sasniedz</w:t>
      </w:r>
      <w:proofErr w:type="spellEnd"/>
      <w:r w:rsidRPr="00F60819">
        <w:rPr>
          <w:rFonts w:ascii="Verdana" w:eastAsia="Times New Roman" w:hAnsi="Verdana"/>
          <w:color w:val="000000"/>
          <w:sz w:val="20"/>
          <w:szCs w:val="20"/>
          <w:lang w:eastAsia="en-GB"/>
        </w:rPr>
        <w:t xml:space="preserve"> 250 km/h.</w:t>
      </w:r>
    </w:p>
    <w:p w:rsidR="00E02E95" w:rsidRDefault="00E02E95"/>
    <w:sectPr w:rsidR="00E02E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F8"/>
    <w:rsid w:val="004D41F8"/>
    <w:rsid w:val="0095643A"/>
    <w:rsid w:val="00DE40EC"/>
    <w:rsid w:val="00E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40EC"/>
    <w:rPr>
      <w:color w:val="0000FF"/>
      <w:u w:val="single"/>
    </w:rPr>
  </w:style>
  <w:style w:type="character" w:customStyle="1" w:styleId="apple-converted-space">
    <w:name w:val="apple-converted-space"/>
    <w:rsid w:val="00DE40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0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E40EC"/>
    <w:rPr>
      <w:color w:val="0000FF"/>
      <w:u w:val="single"/>
    </w:rPr>
  </w:style>
  <w:style w:type="character" w:customStyle="1" w:styleId="apple-converted-space">
    <w:name w:val="apple-converted-space"/>
    <w:rsid w:val="00DE4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ezaurs.lv/sv/?w=doma" TargetMode="External"/><Relationship Id="rId5" Type="http://schemas.openxmlformats.org/officeDocument/2006/relationships/hyperlink" Target="http://www.tezaurs.lv/sv/?w=pavei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2014-02-10T19:30:00Z</dcterms:created>
  <dcterms:modified xsi:type="dcterms:W3CDTF">2015-01-03T16:04:00Z</dcterms:modified>
</cp:coreProperties>
</file>