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A0" w:rsidRPr="009A3B87" w:rsidRDefault="005552A0" w:rsidP="005552A0">
      <w:pPr>
        <w:tabs>
          <w:tab w:val="left" w:pos="7873"/>
        </w:tabs>
        <w:jc w:val="center"/>
        <w:rPr>
          <w:b/>
          <w:sz w:val="44"/>
          <w:szCs w:val="44"/>
        </w:rPr>
      </w:pPr>
      <w:r w:rsidRPr="009A3B87">
        <w:rPr>
          <w:b/>
          <w:sz w:val="44"/>
          <w:szCs w:val="44"/>
        </w:rPr>
        <w:t>Kuldīgas Tehnoloģiju un tūrisma tehnikuma</w:t>
      </w:r>
    </w:p>
    <w:p w:rsidR="009A3B87" w:rsidRPr="009A3B87" w:rsidRDefault="009A3B87" w:rsidP="005552A0">
      <w:pPr>
        <w:tabs>
          <w:tab w:val="left" w:pos="7873"/>
        </w:tabs>
        <w:jc w:val="center"/>
        <w:rPr>
          <w:b/>
          <w:sz w:val="44"/>
          <w:szCs w:val="44"/>
        </w:rPr>
      </w:pPr>
      <w:r w:rsidRPr="009A3B87">
        <w:rPr>
          <w:b/>
          <w:sz w:val="44"/>
          <w:szCs w:val="44"/>
        </w:rPr>
        <w:t>2023./2024</w:t>
      </w:r>
      <w:r w:rsidR="005552A0" w:rsidRPr="009A3B87">
        <w:rPr>
          <w:b/>
          <w:sz w:val="44"/>
          <w:szCs w:val="44"/>
        </w:rPr>
        <w:t xml:space="preserve">.gada VISC centralizēto eksāmenu statistika </w:t>
      </w:r>
    </w:p>
    <w:p w:rsidR="005552A0" w:rsidRPr="009A3B87" w:rsidRDefault="009A3B87" w:rsidP="005552A0">
      <w:pPr>
        <w:tabs>
          <w:tab w:val="left" w:pos="7873"/>
        </w:tabs>
        <w:jc w:val="center"/>
        <w:rPr>
          <w:b/>
          <w:sz w:val="32"/>
          <w:szCs w:val="32"/>
        </w:rPr>
      </w:pPr>
      <w:r w:rsidRPr="009A3B87">
        <w:rPr>
          <w:b/>
          <w:sz w:val="32"/>
          <w:szCs w:val="32"/>
        </w:rPr>
        <w:t>(grafiskais salīdzinājums ar 2022./2023/</w:t>
      </w:r>
      <w:proofErr w:type="spellStart"/>
      <w:r w:rsidRPr="009A3B87">
        <w:rPr>
          <w:b/>
          <w:sz w:val="32"/>
          <w:szCs w:val="32"/>
        </w:rPr>
        <w:t>m.g</w:t>
      </w:r>
      <w:proofErr w:type="spellEnd"/>
      <w:r w:rsidRPr="009A3B87">
        <w:rPr>
          <w:b/>
          <w:sz w:val="32"/>
          <w:szCs w:val="32"/>
        </w:rPr>
        <w:t xml:space="preserve">.) </w:t>
      </w:r>
    </w:p>
    <w:p w:rsidR="005A267A" w:rsidRPr="0042461D" w:rsidRDefault="005A267A" w:rsidP="005A267A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A267A" w:rsidRPr="0042461D" w:rsidRDefault="005A267A" w:rsidP="005A267A">
      <w:r w:rsidRPr="0042461D">
        <w:rPr>
          <w:noProof/>
        </w:rPr>
        <w:drawing>
          <wp:inline distT="0" distB="0" distL="0" distR="0" wp14:anchorId="16AA0F97" wp14:editId="1524DEA3">
            <wp:extent cx="5263763" cy="2965836"/>
            <wp:effectExtent l="0" t="0" r="13335" b="6350"/>
            <wp:docPr id="5" name="Diagramm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6A8" w:rsidRDefault="005A267A" w:rsidP="005A267A">
      <w:r>
        <w:t xml:space="preserve"> </w:t>
      </w:r>
    </w:p>
    <w:p w:rsidR="007072C8" w:rsidRDefault="007072C8" w:rsidP="005A267A">
      <w:r>
        <w:t xml:space="preserve"> </w:t>
      </w:r>
      <w:r w:rsidR="00E266A8">
        <w:t xml:space="preserve">2022./2023.m.g. </w:t>
      </w:r>
      <w:r>
        <w:t xml:space="preserve">angļu valodas </w:t>
      </w:r>
      <w:r w:rsidR="00E266A8">
        <w:t xml:space="preserve">eksāmenu kārtoja 55 izglītojamie, 2023./2024.m.g. - 43 izglītojamie. </w:t>
      </w:r>
      <w:r>
        <w:t xml:space="preserve"> </w:t>
      </w:r>
    </w:p>
    <w:p w:rsidR="007072C8" w:rsidRDefault="007072C8" w:rsidP="005A267A">
      <w:r>
        <w:t xml:space="preserve"> Eksāmena rezultāti precīzi parāda</w:t>
      </w:r>
      <w:r w:rsidR="009E05B0">
        <w:t xml:space="preserve"> audzēkņu spējas, motivāciju un personīgo ieguldījumu, atbilstoši nodarbību apmeklējumam, regulāram darbam nodarbību laikā un arī </w:t>
      </w:r>
      <w:r w:rsidR="00B53597">
        <w:t xml:space="preserve">darbam patstāvīgi </w:t>
      </w:r>
      <w:r w:rsidR="009E05B0">
        <w:t>mājās.</w:t>
      </w:r>
    </w:p>
    <w:p w:rsidR="007072C8" w:rsidRPr="007072C8" w:rsidRDefault="009E05B0" w:rsidP="005A267A">
      <w:r>
        <w:t xml:space="preserve">  Var secināt, ka a</w:t>
      </w:r>
      <w:r w:rsidR="005A267A" w:rsidRPr="007072C8">
        <w:t xml:space="preserve">ngļu valodas zināšanas audzēkņiem uzlabojas, jo viņi daudz laika pavada </w:t>
      </w:r>
      <w:r w:rsidR="00B53597">
        <w:t>“</w:t>
      </w:r>
      <w:r w:rsidR="005A267A" w:rsidRPr="007072C8">
        <w:t>angliskā vidē</w:t>
      </w:r>
      <w:r w:rsidR="00B53597">
        <w:t>”-</w:t>
      </w:r>
      <w:r w:rsidR="005A267A" w:rsidRPr="007072C8">
        <w:t xml:space="preserve"> klausoties mūziku, skatoties video, sazinoties ar cilvēkiem visa pasaulē. </w:t>
      </w:r>
    </w:p>
    <w:p w:rsidR="007072C8" w:rsidRDefault="007072C8" w:rsidP="005A267A">
      <w:r>
        <w:t xml:space="preserve"> </w:t>
      </w:r>
      <w:r w:rsidRPr="007072C8">
        <w:t>Taču š</w:t>
      </w:r>
      <w:r w:rsidR="005A267A" w:rsidRPr="007072C8">
        <w:t xml:space="preserve">ogad </w:t>
      </w:r>
      <w:r w:rsidRPr="007072C8">
        <w:t xml:space="preserve">1 audzēknis nesasniedza 15% robežu, </w:t>
      </w:r>
      <w:r w:rsidR="00B53597">
        <w:t xml:space="preserve">šim audzēknim, uzsākot mācības tehnikumā, </w:t>
      </w:r>
      <w:r w:rsidRPr="007072C8">
        <w:t xml:space="preserve">bija ļoti vājas </w:t>
      </w:r>
      <w:proofErr w:type="spellStart"/>
      <w:r w:rsidRPr="007072C8">
        <w:t>pamatzināšanas</w:t>
      </w:r>
      <w:proofErr w:type="spellEnd"/>
      <w:r w:rsidRPr="007072C8">
        <w:t xml:space="preserve"> un absolūta </w:t>
      </w:r>
      <w:proofErr w:type="spellStart"/>
      <w:r w:rsidRPr="007072C8">
        <w:t>neienteresētība</w:t>
      </w:r>
      <w:proofErr w:type="spellEnd"/>
      <w:r w:rsidRPr="007072C8">
        <w:t xml:space="preserve"> zināšanas uzlabot, </w:t>
      </w:r>
      <w:r w:rsidR="005A267A" w:rsidRPr="007072C8">
        <w:t xml:space="preserve"> </w:t>
      </w:r>
      <w:r w:rsidRPr="007072C8">
        <w:t>tāpēc arī neieguva sertifikātu.</w:t>
      </w:r>
    </w:p>
    <w:p w:rsidR="005A267A" w:rsidRPr="00FA1B6C" w:rsidRDefault="007072C8" w:rsidP="005A267A">
      <w:r w:rsidRPr="007072C8">
        <w:t xml:space="preserve"> Skolotāji</w:t>
      </w:r>
      <w:r>
        <w:t xml:space="preserve"> </w:t>
      </w:r>
      <w:r w:rsidR="009E05B0">
        <w:t>secina</w:t>
      </w:r>
      <w:r>
        <w:t>, ka mācību laikā katram audzēknim jāveido mape, kurā veidojas materiālu, atgādņu krātuve, kuru izmantot katram individuāli, gatavojoties eksāmenam.</w:t>
      </w:r>
    </w:p>
    <w:p w:rsidR="005A267A" w:rsidRPr="0042461D" w:rsidRDefault="005A267A" w:rsidP="005A267A"/>
    <w:p w:rsidR="005A267A" w:rsidRPr="0042461D" w:rsidRDefault="005A267A" w:rsidP="005A267A"/>
    <w:p w:rsidR="005A267A" w:rsidRPr="0042461D" w:rsidRDefault="005A267A" w:rsidP="005A267A"/>
    <w:p w:rsidR="005A267A" w:rsidRPr="0042461D" w:rsidRDefault="005A267A" w:rsidP="005A267A"/>
    <w:p w:rsidR="005A267A" w:rsidRPr="0042461D" w:rsidRDefault="005A267A" w:rsidP="005A267A"/>
    <w:p w:rsidR="005A267A" w:rsidRPr="0042461D" w:rsidRDefault="005A267A" w:rsidP="005A267A"/>
    <w:p w:rsidR="005A267A" w:rsidRPr="0042461D" w:rsidRDefault="005A267A" w:rsidP="005A267A">
      <w:r w:rsidRPr="0042461D">
        <w:rPr>
          <w:noProof/>
        </w:rPr>
        <w:lastRenderedPageBreak/>
        <w:drawing>
          <wp:inline distT="0" distB="0" distL="0" distR="0" wp14:anchorId="427DD155" wp14:editId="6FD4739B">
            <wp:extent cx="5542059" cy="2194560"/>
            <wp:effectExtent l="0" t="0" r="1905" b="15240"/>
            <wp:docPr id="6" name="Diagram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42461D">
        <w:t xml:space="preserve"> </w:t>
      </w:r>
    </w:p>
    <w:p w:rsidR="001458F4" w:rsidRDefault="005A267A" w:rsidP="005A267A">
      <w:pPr>
        <w:spacing w:line="360" w:lineRule="auto"/>
      </w:pPr>
      <w:r w:rsidRPr="00FA1B6C">
        <w:t xml:space="preserve"> </w:t>
      </w:r>
      <w:r w:rsidR="001458F4">
        <w:t>2022./2023.m.g. eksāmenu kārtoja 54 izglītojamie, 2023./2024.m.g. - 43 izglītojamie.</w:t>
      </w:r>
    </w:p>
    <w:p w:rsidR="00EC51B6" w:rsidRDefault="00B53597" w:rsidP="00EC51B6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  <w:r>
        <w:t xml:space="preserve">Bija </w:t>
      </w:r>
      <w:r w:rsidR="009A3B87">
        <w:t>p</w:t>
      </w:r>
      <w:r>
        <w:rPr>
          <w:color w:val="000000" w:themeColor="text1"/>
          <w:shd w:val="clear" w:color="auto" w:fill="FFFFFF"/>
        </w:rPr>
        <w:t>rognozes un tās piepildījās</w:t>
      </w:r>
      <w:r w:rsidR="00EC51B6">
        <w:rPr>
          <w:color w:val="000000" w:themeColor="text1"/>
          <w:shd w:val="clear" w:color="auto" w:fill="FFFFFF"/>
        </w:rPr>
        <w:t>, ka augstākie rezultāti būs IP “Lo</w:t>
      </w:r>
      <w:r w:rsidR="00EC51B6">
        <w:rPr>
          <w:color w:val="000000" w:themeColor="text1"/>
        </w:rPr>
        <w:t xml:space="preserve">ģistikas darbinieki” </w:t>
      </w:r>
      <w:r w:rsidR="00EC51B6">
        <w:rPr>
          <w:color w:val="000000" w:themeColor="text1"/>
          <w:shd w:val="clear" w:color="auto" w:fill="FFFFFF"/>
        </w:rPr>
        <w:t>un arī IP “T</w:t>
      </w:r>
      <w:r>
        <w:rPr>
          <w:color w:val="000000" w:themeColor="text1"/>
        </w:rPr>
        <w:t xml:space="preserve">ūrisma pakalpojumu konsultants” audzēkņiem, </w:t>
      </w:r>
      <w:r w:rsidR="00EC51B6">
        <w:rPr>
          <w:color w:val="000000" w:themeColor="text1"/>
          <w:shd w:val="clear" w:color="auto" w:fill="FFFFFF"/>
        </w:rPr>
        <w:t xml:space="preserve">kurā arī mācās motivēti audzēkņi, bet </w:t>
      </w:r>
      <w:r>
        <w:rPr>
          <w:color w:val="000000" w:themeColor="text1"/>
          <w:shd w:val="clear" w:color="auto" w:fill="FFFFFF"/>
        </w:rPr>
        <w:t xml:space="preserve">zemākie audzēkņiem, kuri mācās </w:t>
      </w:r>
      <w:r w:rsidR="00EC51B6">
        <w:rPr>
          <w:color w:val="000000" w:themeColor="text1"/>
          <w:shd w:val="clear" w:color="auto" w:fill="FFFFFF"/>
        </w:rPr>
        <w:t>IP “Mēbeļu galdnieks</w:t>
      </w:r>
      <w:r w:rsidR="00EC51B6">
        <w:rPr>
          <w:color w:val="000000" w:themeColor="text1"/>
        </w:rPr>
        <w:t xml:space="preserve">” </w:t>
      </w:r>
      <w:r>
        <w:rPr>
          <w:color w:val="000000" w:themeColor="text1"/>
        </w:rPr>
        <w:t>un IP “Ēdināšanas pakalpojumi”.</w:t>
      </w:r>
    </w:p>
    <w:p w:rsidR="00EC51B6" w:rsidRPr="00C3219A" w:rsidRDefault="00B53597" w:rsidP="00EC51B6">
      <w:r w:rsidRPr="00C3219A">
        <w:t xml:space="preserve">Pedagogu </w:t>
      </w:r>
      <w:r w:rsidR="00EC51B6" w:rsidRPr="00C3219A">
        <w:t>Secinājumi:</w:t>
      </w:r>
      <w:r w:rsidRPr="00C3219A">
        <w:t xml:space="preserve"> </w:t>
      </w:r>
    </w:p>
    <w:p w:rsidR="00EC51B6" w:rsidRPr="00C3219A" w:rsidRDefault="00EC51B6" w:rsidP="00EC51B6">
      <w:r w:rsidRPr="00C3219A">
        <w:t xml:space="preserve">Lai labi noliktu OL eksāmenu latviešu valodā,  galvenais ir tas, lai audzēkņi labi māk rakstīt pārspriedumu un zina visu gramatiku. </w:t>
      </w:r>
    </w:p>
    <w:p w:rsidR="00EC51B6" w:rsidRPr="00C3219A" w:rsidRDefault="00EC51B6" w:rsidP="00EC51B6">
      <w:pPr>
        <w:pStyle w:val="Sarakstarindkop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219A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gramatiku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balstās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1.daļas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uzdevumi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vārdšķiras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vārda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pamatforma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teikuma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veidi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teikuma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konstrukcijas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divdabja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teiciens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savrupinājumi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iespraudumi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u.c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audzēkņi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pamatskolā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apguvuši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apmierinošā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līmenī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būtu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zināšanu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pamatbāze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pamatīgi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būvēt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vidusskolas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vielu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tad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iespējas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vairāk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jāstrādā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stundās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eksāmena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2. un 3.daļas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uzdevumiem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jo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atkārtojumam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paredzētas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stundas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izlīdzinošajā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kursā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turklāt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visām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grupām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>),</w:t>
      </w:r>
    </w:p>
    <w:p w:rsidR="00EC51B6" w:rsidRPr="00C3219A" w:rsidRDefault="00EC51B6" w:rsidP="00EC51B6">
      <w:pPr>
        <w:pStyle w:val="Sarakstarindkop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3219A">
        <w:rPr>
          <w:rFonts w:ascii="Times New Roman" w:hAnsi="Times New Roman" w:cs="Times New Roman"/>
          <w:sz w:val="24"/>
          <w:szCs w:val="24"/>
        </w:rPr>
        <w:t>2.daļā (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pārspriedums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argumentētā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eseja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vērtējums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daļēji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subjektīvs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tehnikuma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audzēkņi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uzr</w:t>
      </w:r>
      <w:r w:rsidR="00B53597" w:rsidRPr="00C3219A">
        <w:rPr>
          <w:rFonts w:ascii="Times New Roman" w:hAnsi="Times New Roman" w:cs="Times New Roman"/>
          <w:sz w:val="24"/>
          <w:szCs w:val="24"/>
        </w:rPr>
        <w:t>ādījuši</w:t>
      </w:r>
      <w:proofErr w:type="spellEnd"/>
      <w:r w:rsidR="00B53597"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597" w:rsidRPr="00C3219A">
        <w:rPr>
          <w:rFonts w:ascii="Times New Roman" w:hAnsi="Times New Roman" w:cs="Times New Roman"/>
          <w:sz w:val="24"/>
          <w:szCs w:val="24"/>
        </w:rPr>
        <w:t>samērā</w:t>
      </w:r>
      <w:proofErr w:type="spellEnd"/>
      <w:r w:rsidR="00B53597"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597" w:rsidRPr="00C3219A">
        <w:rPr>
          <w:rFonts w:ascii="Times New Roman" w:hAnsi="Times New Roman" w:cs="Times New Roman"/>
          <w:sz w:val="24"/>
          <w:szCs w:val="24"/>
        </w:rPr>
        <w:t>labus</w:t>
      </w:r>
      <w:proofErr w:type="spellEnd"/>
      <w:r w:rsidR="00B53597"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597" w:rsidRPr="00C3219A">
        <w:rPr>
          <w:rFonts w:ascii="Times New Roman" w:hAnsi="Times New Roman" w:cs="Times New Roman"/>
          <w:sz w:val="24"/>
          <w:szCs w:val="24"/>
        </w:rPr>
        <w:t>rezultātus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ikdienas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procesā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argumentētās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esejas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pārsprieduma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rakstība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audzēkņiem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sagādāja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lielas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grūtības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īpaši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strukturēšana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pareizrakstība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argumentācija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faktu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atlase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>,</w:t>
      </w:r>
    </w:p>
    <w:p w:rsidR="00EC51B6" w:rsidRPr="00C3219A" w:rsidRDefault="00EC51B6" w:rsidP="00EC51B6">
      <w:pPr>
        <w:pStyle w:val="Sarakstarindkopa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219A">
        <w:rPr>
          <w:rFonts w:ascii="Times New Roman" w:hAnsi="Times New Roman" w:cs="Times New Roman"/>
          <w:sz w:val="24"/>
          <w:szCs w:val="24"/>
        </w:rPr>
        <w:t>audzēkņu</w:t>
      </w:r>
      <w:proofErr w:type="spellEnd"/>
      <w:proofErr w:type="gram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pieredzes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bagātināšanai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iespējas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vairāk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kopā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audzēkņiem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jāapmeklē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bezmaksas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Kuldīgā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mērķtiecīgi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jāizvērtē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Latvijas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skolas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somas”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piedāvājums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audzēkņi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varētu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uzkrāt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zināšanas</w:t>
      </w:r>
      <w:proofErr w:type="spellEnd"/>
      <w:r w:rsidRPr="00C3219A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C3219A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="00B53597"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597" w:rsidRPr="00C3219A">
        <w:rPr>
          <w:rFonts w:ascii="Times New Roman" w:hAnsi="Times New Roman" w:cs="Times New Roman"/>
          <w:sz w:val="24"/>
          <w:szCs w:val="24"/>
        </w:rPr>
        <w:t>faktiem</w:t>
      </w:r>
      <w:proofErr w:type="spellEnd"/>
      <w:r w:rsidR="00B53597" w:rsidRPr="00C3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597" w:rsidRPr="00C3219A">
        <w:rPr>
          <w:rFonts w:ascii="Times New Roman" w:hAnsi="Times New Roman" w:cs="Times New Roman"/>
          <w:sz w:val="24"/>
          <w:szCs w:val="24"/>
        </w:rPr>
        <w:t>eksāmena</w:t>
      </w:r>
      <w:proofErr w:type="spellEnd"/>
      <w:r w:rsidR="00B53597" w:rsidRPr="00C3219A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B53597" w:rsidRPr="00C3219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B53597" w:rsidRPr="00C3219A">
        <w:rPr>
          <w:rFonts w:ascii="Times New Roman" w:hAnsi="Times New Roman" w:cs="Times New Roman"/>
          <w:sz w:val="24"/>
          <w:szCs w:val="24"/>
        </w:rPr>
        <w:t xml:space="preserve"> 3.daļai.</w:t>
      </w:r>
    </w:p>
    <w:p w:rsidR="005A267A" w:rsidRPr="0042461D" w:rsidRDefault="005A267A" w:rsidP="005A267A">
      <w:pPr>
        <w:spacing w:line="360" w:lineRule="auto"/>
        <w:rPr>
          <w:i/>
        </w:rPr>
      </w:pPr>
      <w:r w:rsidRPr="0042461D">
        <w:rPr>
          <w:i/>
        </w:rPr>
        <w:t xml:space="preserve">  </w:t>
      </w:r>
      <w:r w:rsidRPr="0042461D">
        <w:rPr>
          <w:noProof/>
        </w:rPr>
        <w:drawing>
          <wp:inline distT="0" distB="0" distL="0" distR="0" wp14:anchorId="4463F752" wp14:editId="4A13E1ED">
            <wp:extent cx="5274310" cy="2959424"/>
            <wp:effectExtent l="0" t="0" r="2540" b="12700"/>
            <wp:docPr id="7" name="Diagramm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58F4" w:rsidRDefault="001458F4" w:rsidP="005A267A">
      <w:pPr>
        <w:spacing w:before="240" w:line="276" w:lineRule="auto"/>
      </w:pPr>
      <w:r>
        <w:t>2022./2023.m.g. eksāmenu kārtoja 54 izglītojamie</w:t>
      </w:r>
      <w:r w:rsidR="00C3219A">
        <w:t xml:space="preserve">, </w:t>
      </w:r>
      <w:r w:rsidR="00C3219A" w:rsidRPr="00C3219A">
        <w:t>10 % neieguva 19 audzēkņi</w:t>
      </w:r>
      <w:r w:rsidRPr="00C3219A">
        <w:t>, 2023./2024.m.g. - 45 izglītojamie</w:t>
      </w:r>
      <w:r w:rsidR="00C3219A" w:rsidRPr="00C3219A">
        <w:t>, 15 % neieguva 27</w:t>
      </w:r>
      <w:r w:rsidR="00C3219A" w:rsidRPr="00C3219A">
        <w:t xml:space="preserve"> audzēkņi</w:t>
      </w:r>
      <w:r w:rsidR="00385BA0">
        <w:t>, no tiem 10 eksāmenu kārtoja atkārtoti</w:t>
      </w:r>
      <w:r w:rsidRPr="00C3219A">
        <w:t>.</w:t>
      </w:r>
    </w:p>
    <w:p w:rsidR="00AD66BC" w:rsidRDefault="00AD66BC" w:rsidP="005A267A">
      <w:pPr>
        <w:spacing w:before="240" w:line="276" w:lineRule="auto"/>
      </w:pPr>
      <w:r>
        <w:t>Pedagogu secinājumi:</w:t>
      </w:r>
    </w:p>
    <w:p w:rsidR="005A267A" w:rsidRPr="00385BA0" w:rsidRDefault="005A267A" w:rsidP="005A267A">
      <w:pPr>
        <w:pStyle w:val="Sarakstarindkop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5BA0">
        <w:rPr>
          <w:rFonts w:ascii="Times New Roman" w:hAnsi="Times New Roman" w:cs="Times New Roman"/>
          <w:sz w:val="24"/>
          <w:szCs w:val="24"/>
        </w:rPr>
        <w:t>uzsākot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mācības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1.kursā, 30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audzēkņiem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bija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nepieciešamas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matemātikas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papildnodarbības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uzlabotu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pamatzināšanas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>;</w:t>
      </w:r>
    </w:p>
    <w:p w:rsidR="005A267A" w:rsidRPr="00385BA0" w:rsidRDefault="005A267A" w:rsidP="005A267A">
      <w:pPr>
        <w:pStyle w:val="Sarakstarindkop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5BA0">
        <w:rPr>
          <w:rFonts w:ascii="Times New Roman" w:hAnsi="Times New Roman" w:cs="Times New Roman"/>
          <w:sz w:val="24"/>
          <w:szCs w:val="24"/>
        </w:rPr>
        <w:t>turpmāk</w:t>
      </w:r>
      <w:proofErr w:type="spellEnd"/>
      <w:proofErr w:type="gram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zināšanu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apguvi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traucēja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attālinātās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mācības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="00AD6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Šie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beidzot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="00AD66BC" w:rsidRPr="00AD66BC">
        <w:rPr>
          <w:rFonts w:ascii="Times New Roman" w:hAnsi="Times New Roman" w:cs="Times New Roman"/>
          <w:sz w:val="24"/>
          <w:szCs w:val="24"/>
        </w:rPr>
        <w:t>klasi</w:t>
      </w:r>
      <w:proofErr w:type="spellEnd"/>
      <w:proofErr w:type="gram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nekārtoja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 VPD, bet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attālināti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veica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 d/d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viņiem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6BC" w:rsidRPr="00AD66BC">
        <w:rPr>
          <w:rFonts w:ascii="Times New Roman" w:hAnsi="Times New Roman" w:cs="Times New Roman"/>
          <w:sz w:val="24"/>
          <w:szCs w:val="24"/>
        </w:rPr>
        <w:t>eksāmenu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66BC" w:rsidRPr="00AD66BC">
        <w:rPr>
          <w:rFonts w:ascii="Times New Roman" w:hAnsi="Times New Roman" w:cs="Times New Roman"/>
          <w:sz w:val="24"/>
          <w:szCs w:val="24"/>
        </w:rPr>
        <w:t>pieredze</w:t>
      </w:r>
      <w:proofErr w:type="spellEnd"/>
      <w:r w:rsidR="00AD66BC" w:rsidRPr="00AD66BC">
        <w:rPr>
          <w:rFonts w:ascii="Times New Roman" w:hAnsi="Times New Roman" w:cs="Times New Roman"/>
          <w:sz w:val="24"/>
          <w:szCs w:val="24"/>
        </w:rPr>
        <w:t>.</w:t>
      </w:r>
      <w:r w:rsidRPr="00385BA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85BA0" w:rsidRDefault="005A267A" w:rsidP="00385BA0">
      <w:pPr>
        <w:pStyle w:val="Sarakstarindkop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5BA0">
        <w:rPr>
          <w:rFonts w:ascii="Times New Roman" w:hAnsi="Times New Roman" w:cs="Times New Roman"/>
          <w:sz w:val="24"/>
          <w:szCs w:val="24"/>
        </w:rPr>
        <w:t>rezultātā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audzēkņi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nespēja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izpildīt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pat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elementārus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A0">
        <w:rPr>
          <w:rFonts w:ascii="Times New Roman" w:hAnsi="Times New Roman" w:cs="Times New Roman"/>
          <w:sz w:val="24"/>
          <w:szCs w:val="24"/>
        </w:rPr>
        <w:t>uzdevumus</w:t>
      </w:r>
      <w:proofErr w:type="spellEnd"/>
      <w:r w:rsidRPr="00385BA0">
        <w:rPr>
          <w:rFonts w:ascii="Times New Roman" w:hAnsi="Times New Roman" w:cs="Times New Roman"/>
          <w:sz w:val="24"/>
          <w:szCs w:val="24"/>
        </w:rPr>
        <w:t>.</w:t>
      </w:r>
    </w:p>
    <w:p w:rsidR="00385BA0" w:rsidRPr="00AD66BC" w:rsidRDefault="00385BA0" w:rsidP="00385BA0">
      <w:pPr>
        <w:pStyle w:val="Sarakstarindkop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66BC">
        <w:rPr>
          <w:rFonts w:ascii="Times New Roman" w:hAnsi="Times New Roman" w:cs="Times New Roman"/>
          <w:sz w:val="24"/>
          <w:szCs w:val="24"/>
        </w:rPr>
        <w:t>Motivācijas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trūkums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Matemātika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priekšmets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prasa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pacietību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6BC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iedziļināšanos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loģisko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domāšanu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Diemžēl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skolēni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izvēlas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vieglāko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ceļu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nedarīt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nedomāt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neiegaumēt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66BC">
        <w:rPr>
          <w:rFonts w:ascii="Times New Roman" w:hAnsi="Times New Roman" w:cs="Times New Roman"/>
          <w:sz w:val="24"/>
          <w:szCs w:val="24"/>
        </w:rPr>
        <w:t>tās</w:t>
      </w:r>
      <w:proofErr w:type="spellEnd"/>
      <w:proofErr w:type="gram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sakarības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algoritmu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kādu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uzdevums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atrisināms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>.</w:t>
      </w:r>
    </w:p>
    <w:p w:rsidR="00385BA0" w:rsidRPr="00AD66BC" w:rsidRDefault="00385BA0" w:rsidP="00385BA0">
      <w:pPr>
        <w:pStyle w:val="Sarakstarindkop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Kavējumi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. Tai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skaitā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skolēni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ļoti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liels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kavējumu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skaits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darbošanās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jaunsardzē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autoskola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dažādas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blakuslietas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saistītas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Protams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prombūtnē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nekas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netiek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darīts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Zināšanas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nostiprinātas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aizmirsts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66BC">
        <w:rPr>
          <w:rFonts w:ascii="Times New Roman" w:hAnsi="Times New Roman" w:cs="Times New Roman"/>
          <w:sz w:val="24"/>
          <w:szCs w:val="24"/>
        </w:rPr>
        <w:t>tas</w:t>
      </w:r>
      <w:proofErr w:type="spellEnd"/>
      <w:proofErr w:type="gram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bija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iemācīts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apgūts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citi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apgūst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mācoties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ikdienā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skolēni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neuzskatīja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vajadzību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apmeklēt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66BC">
        <w:rPr>
          <w:rFonts w:ascii="Times New Roman" w:hAnsi="Times New Roman" w:cs="Times New Roman"/>
          <w:sz w:val="24"/>
          <w:szCs w:val="24"/>
        </w:rPr>
        <w:t>tās</w:t>
      </w:r>
      <w:proofErr w:type="spellEnd"/>
      <w:proofErr w:type="gram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konsultācijas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tika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piedāvātas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pirms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eksāmena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BA0" w:rsidRPr="00AD66BC" w:rsidRDefault="00385BA0" w:rsidP="00385BA0">
      <w:pPr>
        <w:pStyle w:val="Sarakstarindkop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Samazināts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stundu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skaits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ietekmē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gada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>;</w:t>
      </w:r>
    </w:p>
    <w:p w:rsidR="00385BA0" w:rsidRPr="00AD66BC" w:rsidRDefault="00385BA0" w:rsidP="00385BA0">
      <w:pPr>
        <w:pStyle w:val="Sarakstarindkop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Atbildības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trūkums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Katram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skolēnam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būtu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jāpajautā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sev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cik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sistemātisku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6BC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centīgu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viņš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iegulda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jo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iemācīties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matemātiku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nepieciešams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sistemātisks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ikdienas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darbs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nevar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izdarīt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vienā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vakarā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vienā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nedēļā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mēnesī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66BC">
        <w:rPr>
          <w:rFonts w:ascii="Times New Roman" w:hAnsi="Times New Roman" w:cs="Times New Roman"/>
          <w:sz w:val="24"/>
          <w:szCs w:val="24"/>
        </w:rPr>
        <w:t>Tas</w:t>
      </w:r>
      <w:proofErr w:type="spellEnd"/>
      <w:proofErr w:type="gram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darbs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garumā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apgūstot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vidējo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sz w:val="24"/>
          <w:szCs w:val="24"/>
        </w:rPr>
        <w:t>izglītību</w:t>
      </w:r>
      <w:proofErr w:type="spellEnd"/>
      <w:r w:rsidRPr="00AD66BC">
        <w:rPr>
          <w:rFonts w:ascii="Times New Roman" w:hAnsi="Times New Roman" w:cs="Times New Roman"/>
          <w:sz w:val="24"/>
          <w:szCs w:val="24"/>
        </w:rPr>
        <w:t>.</w:t>
      </w:r>
    </w:p>
    <w:p w:rsidR="00AD66BC" w:rsidRPr="00AD66BC" w:rsidRDefault="00AD66BC" w:rsidP="00385BA0">
      <w:pPr>
        <w:pStyle w:val="Sarakstarindkop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tiem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kas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kārtoja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otro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reizi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bija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paredzams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jo</w:t>
      </w:r>
      <w:proofErr w:type="gram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veselu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gadu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neko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nemācās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tad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jau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nevar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arī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nolikt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proofErr w:type="gram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viņi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jau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nenāca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uz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konsultācijām</w:t>
      </w:r>
      <w:proofErr w:type="spellEnd"/>
      <w:r w:rsidRPr="00AD66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5BA0" w:rsidRPr="00AD66BC" w:rsidRDefault="00AD66BC" w:rsidP="007E00C6">
      <w:pPr>
        <w:pStyle w:val="Sarakstarindkopa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proofErr w:type="spellStart"/>
      <w:r w:rsidRPr="00AD66BC">
        <w:rPr>
          <w:rFonts w:ascii="Times New Roman" w:hAnsi="Times New Roman" w:cs="Times New Roman"/>
          <w:sz w:val="24"/>
          <w:szCs w:val="24"/>
        </w:rPr>
        <w:t>P</w:t>
      </w:r>
      <w:r w:rsidR="00385BA0" w:rsidRPr="00AD66BC">
        <w:rPr>
          <w:rFonts w:ascii="Times New Roman" w:hAnsi="Times New Roman" w:cs="Times New Roman"/>
          <w:sz w:val="24"/>
          <w:szCs w:val="24"/>
        </w:rPr>
        <w:t>ašvadītas</w:t>
      </w:r>
      <w:proofErr w:type="spellEnd"/>
      <w:r w:rsidR="00385BA0"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BA0" w:rsidRPr="00AD66BC">
        <w:rPr>
          <w:rFonts w:ascii="Times New Roman" w:hAnsi="Times New Roman" w:cs="Times New Roman"/>
          <w:sz w:val="24"/>
          <w:szCs w:val="24"/>
        </w:rPr>
        <w:t>mācīšanās</w:t>
      </w:r>
      <w:proofErr w:type="spellEnd"/>
      <w:r w:rsidR="00385BA0" w:rsidRPr="00AD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BA0" w:rsidRPr="00AD66BC">
        <w:rPr>
          <w:rFonts w:ascii="Times New Roman" w:hAnsi="Times New Roman" w:cs="Times New Roman"/>
          <w:sz w:val="24"/>
          <w:szCs w:val="24"/>
        </w:rPr>
        <w:t>trūkums</w:t>
      </w:r>
      <w:proofErr w:type="spellEnd"/>
      <w:r w:rsidR="00385BA0" w:rsidRPr="00AD66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BA0" w:rsidRPr="00385BA0" w:rsidRDefault="00385BA0" w:rsidP="00385BA0">
      <w:pPr>
        <w:spacing w:line="276" w:lineRule="auto"/>
      </w:pPr>
    </w:p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85"/>
        <w:gridCol w:w="2395"/>
        <w:gridCol w:w="2268"/>
      </w:tblGrid>
      <w:tr w:rsidR="00B53597" w:rsidTr="00AD66BC">
        <w:trPr>
          <w:trHeight w:val="7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3597" w:rsidRDefault="00B53597" w:rsidP="00A221BF">
            <w:pPr>
              <w:jc w:val="center"/>
              <w:rPr>
                <w:rFonts w:eastAsiaTheme="minorHAnsi"/>
                <w:b/>
                <w:sz w:val="18"/>
                <w:szCs w:val="20"/>
              </w:rPr>
            </w:pPr>
            <w:bookmarkStart w:id="0" w:name="_GoBack"/>
          </w:p>
          <w:p w:rsidR="00B53597" w:rsidRDefault="00B53597" w:rsidP="00A22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3597" w:rsidRDefault="00B53597" w:rsidP="00A22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Latviešu valoda OL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3597" w:rsidRDefault="00B53597" w:rsidP="00A22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Matemātika OL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53597" w:rsidRDefault="00B53597" w:rsidP="00A221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Angļu valoda OL</w:t>
            </w:r>
          </w:p>
        </w:tc>
      </w:tr>
      <w:bookmarkEnd w:id="0"/>
      <w:tr w:rsidR="00B53597" w:rsidRPr="00343EED" w:rsidTr="00AD66BC">
        <w:trPr>
          <w:trHeight w:val="7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7" w:rsidRPr="00343EED" w:rsidRDefault="00B53597" w:rsidP="00A221BF">
            <w:pPr>
              <w:jc w:val="center"/>
              <w:rPr>
                <w:sz w:val="28"/>
                <w:szCs w:val="28"/>
              </w:rPr>
            </w:pPr>
          </w:p>
          <w:p w:rsidR="00B53597" w:rsidRPr="00343EED" w:rsidRDefault="00B53597" w:rsidP="00A221BF">
            <w:pPr>
              <w:jc w:val="center"/>
              <w:rPr>
                <w:b/>
                <w:sz w:val="28"/>
                <w:szCs w:val="28"/>
              </w:rPr>
            </w:pPr>
            <w:r w:rsidRPr="00343EED">
              <w:rPr>
                <w:b/>
                <w:sz w:val="28"/>
                <w:szCs w:val="28"/>
              </w:rPr>
              <w:t>Tehnikumā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597" w:rsidRPr="00343EED" w:rsidRDefault="00B53597" w:rsidP="00A221BF">
            <w:pPr>
              <w:jc w:val="center"/>
              <w:rPr>
                <w:b/>
                <w:bCs/>
                <w:sz w:val="28"/>
                <w:szCs w:val="28"/>
              </w:rPr>
            </w:pPr>
            <w:r w:rsidRPr="00343EED">
              <w:rPr>
                <w:b/>
                <w:bCs/>
                <w:sz w:val="28"/>
                <w:szCs w:val="28"/>
              </w:rPr>
              <w:t>52,16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97" w:rsidRPr="00343EED" w:rsidRDefault="00362F13" w:rsidP="00A221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97" w:rsidRPr="00343EED" w:rsidRDefault="00362F13" w:rsidP="00A221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53,72</w:t>
            </w:r>
          </w:p>
        </w:tc>
      </w:tr>
      <w:tr w:rsidR="00B53597" w:rsidRPr="00343EED" w:rsidTr="00AD66BC">
        <w:trPr>
          <w:trHeight w:val="71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97" w:rsidRPr="00343EED" w:rsidRDefault="00B53597" w:rsidP="00A221BF">
            <w:pPr>
              <w:jc w:val="center"/>
              <w:rPr>
                <w:sz w:val="28"/>
                <w:szCs w:val="28"/>
              </w:rPr>
            </w:pPr>
          </w:p>
          <w:p w:rsidR="00B53597" w:rsidRPr="00343EED" w:rsidRDefault="00B53597" w:rsidP="00A221BF">
            <w:pPr>
              <w:jc w:val="center"/>
              <w:rPr>
                <w:b/>
                <w:sz w:val="28"/>
                <w:szCs w:val="28"/>
              </w:rPr>
            </w:pPr>
            <w:r w:rsidRPr="00343EED">
              <w:rPr>
                <w:b/>
                <w:sz w:val="28"/>
                <w:szCs w:val="28"/>
              </w:rPr>
              <w:t>Valstī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97" w:rsidRPr="00343EED" w:rsidRDefault="00C3219A" w:rsidP="00A221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97" w:rsidRPr="00343EED" w:rsidRDefault="00C3219A" w:rsidP="00A221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597" w:rsidRPr="00343EED" w:rsidRDefault="00C3219A" w:rsidP="00A221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61,9</w:t>
            </w:r>
          </w:p>
        </w:tc>
      </w:tr>
    </w:tbl>
    <w:p w:rsidR="005A267A" w:rsidRDefault="005A267A" w:rsidP="005A267A">
      <w:pPr>
        <w:spacing w:line="360" w:lineRule="auto"/>
        <w:jc w:val="center"/>
        <w:rPr>
          <w:b/>
          <w:sz w:val="32"/>
          <w:szCs w:val="32"/>
        </w:rPr>
      </w:pPr>
    </w:p>
    <w:p w:rsidR="005A267A" w:rsidRPr="00A8443A" w:rsidRDefault="00385BA0" w:rsidP="005A267A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5A267A">
        <w:rPr>
          <w:b/>
          <w:sz w:val="32"/>
          <w:szCs w:val="32"/>
        </w:rPr>
        <w:t xml:space="preserve">ehnikuma </w:t>
      </w:r>
      <w:r w:rsidR="005A267A" w:rsidRPr="00A8443A">
        <w:rPr>
          <w:b/>
          <w:sz w:val="32"/>
          <w:szCs w:val="32"/>
        </w:rPr>
        <w:t>CE rezultātu salīdzinājums ar valsts rezultātiem</w:t>
      </w:r>
    </w:p>
    <w:p w:rsidR="005A267A" w:rsidRPr="00FA1B6C" w:rsidRDefault="005A267A" w:rsidP="005A267A">
      <w:r w:rsidRPr="00FA1B6C">
        <w:rPr>
          <w:b/>
          <w:noProof/>
        </w:rPr>
        <w:drawing>
          <wp:inline distT="0" distB="0" distL="0" distR="0" wp14:anchorId="6A4F25BD" wp14:editId="7967BB3E">
            <wp:extent cx="4945711" cy="2536466"/>
            <wp:effectExtent l="0" t="0" r="7620" b="16510"/>
            <wp:docPr id="10" name="Diagramma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267A" w:rsidRPr="00FA1B6C" w:rsidRDefault="005A267A" w:rsidP="005A267A">
      <w:r w:rsidRPr="00FA1B6C">
        <w:t>Ņemot vērā, ka:</w:t>
      </w:r>
    </w:p>
    <w:p w:rsidR="005A267A" w:rsidRPr="00FA1B6C" w:rsidRDefault="005A267A" w:rsidP="005A267A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1B6C">
        <w:rPr>
          <w:rFonts w:ascii="Times New Roman" w:hAnsi="Times New Roman" w:cs="Times New Roman"/>
          <w:sz w:val="24"/>
          <w:szCs w:val="24"/>
        </w:rPr>
        <w:t>stundu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skaits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centralizēto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eksāmenu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priekšmetos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tehnikumā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atšķirīgs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stundu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skaita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vidusskolā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267A" w:rsidRPr="00FA1B6C" w:rsidRDefault="005A267A" w:rsidP="005A267A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1B6C">
        <w:rPr>
          <w:rFonts w:ascii="Times New Roman" w:hAnsi="Times New Roman" w:cs="Times New Roman"/>
          <w:sz w:val="24"/>
          <w:szCs w:val="24"/>
        </w:rPr>
        <w:t>audzēkņiem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paralēli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jāapgūst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profesija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>;</w:t>
      </w:r>
    </w:p>
    <w:p w:rsidR="005A267A" w:rsidRPr="00FA1B6C" w:rsidRDefault="005A267A" w:rsidP="005A267A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1B6C">
        <w:rPr>
          <w:rFonts w:ascii="Times New Roman" w:hAnsi="Times New Roman" w:cs="Times New Roman"/>
          <w:sz w:val="24"/>
          <w:szCs w:val="24"/>
        </w:rPr>
        <w:t>joprojām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valda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priekšstats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profesionālās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iestādē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vieglāk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6C">
        <w:rPr>
          <w:rFonts w:ascii="Times New Roman" w:hAnsi="Times New Roman" w:cs="Times New Roman"/>
          <w:sz w:val="24"/>
          <w:szCs w:val="24"/>
        </w:rPr>
        <w:t>mācīties</w:t>
      </w:r>
      <w:proofErr w:type="spellEnd"/>
      <w:r w:rsidRPr="00FA1B6C">
        <w:rPr>
          <w:rFonts w:ascii="Times New Roman" w:hAnsi="Times New Roman" w:cs="Times New Roman"/>
          <w:sz w:val="24"/>
          <w:szCs w:val="24"/>
        </w:rPr>
        <w:t>,</w:t>
      </w:r>
    </w:p>
    <w:p w:rsidR="005A267A" w:rsidRPr="00FA1B6C" w:rsidRDefault="005A267A" w:rsidP="005A267A">
      <w:r w:rsidRPr="00FA1B6C">
        <w:t>mūsu skolotāji ir ieguldījuši apjomīgu darbu audzēkņu sagatavošanā centralizētajiem eksāmeniem, eksāmenu rezultāti atbilst mūsu kontingentam un saredzam gan riskus, gan iespējas turpmākajam darbam.</w:t>
      </w:r>
    </w:p>
    <w:p w:rsidR="00D85971" w:rsidRDefault="00D85971" w:rsidP="00494AC7">
      <w:pPr>
        <w:rPr>
          <w:i/>
        </w:rPr>
      </w:pPr>
    </w:p>
    <w:p w:rsidR="004E6F41" w:rsidRDefault="004E6F41" w:rsidP="004E6F41">
      <w:pPr>
        <w:rPr>
          <w:i/>
        </w:rPr>
      </w:pPr>
    </w:p>
    <w:sectPr w:rsidR="004E6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5039"/>
    <w:multiLevelType w:val="hybridMultilevel"/>
    <w:tmpl w:val="77627B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D60"/>
    <w:multiLevelType w:val="hybridMultilevel"/>
    <w:tmpl w:val="EFBCA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7F5ADC"/>
    <w:multiLevelType w:val="hybridMultilevel"/>
    <w:tmpl w:val="0A8610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19AD"/>
    <w:multiLevelType w:val="hybridMultilevel"/>
    <w:tmpl w:val="16E0F1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1008"/>
    <w:multiLevelType w:val="hybridMultilevel"/>
    <w:tmpl w:val="8AD0AF10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C7"/>
    <w:rsid w:val="00050345"/>
    <w:rsid w:val="000820DB"/>
    <w:rsid w:val="00092967"/>
    <w:rsid w:val="001229F8"/>
    <w:rsid w:val="00130299"/>
    <w:rsid w:val="001458F4"/>
    <w:rsid w:val="00181796"/>
    <w:rsid w:val="00183A9E"/>
    <w:rsid w:val="002201D0"/>
    <w:rsid w:val="002D78B0"/>
    <w:rsid w:val="00307553"/>
    <w:rsid w:val="0033142C"/>
    <w:rsid w:val="003363F2"/>
    <w:rsid w:val="00345D44"/>
    <w:rsid w:val="00362F13"/>
    <w:rsid w:val="00385BA0"/>
    <w:rsid w:val="003960D3"/>
    <w:rsid w:val="003A7701"/>
    <w:rsid w:val="00404913"/>
    <w:rsid w:val="004814AB"/>
    <w:rsid w:val="00494AC7"/>
    <w:rsid w:val="004A33BF"/>
    <w:rsid w:val="004B3C46"/>
    <w:rsid w:val="004B77B4"/>
    <w:rsid w:val="004C00F9"/>
    <w:rsid w:val="004D11C3"/>
    <w:rsid w:val="004D3D7E"/>
    <w:rsid w:val="004E6F41"/>
    <w:rsid w:val="004F5B3A"/>
    <w:rsid w:val="00513DC8"/>
    <w:rsid w:val="005141A0"/>
    <w:rsid w:val="00514742"/>
    <w:rsid w:val="005552A0"/>
    <w:rsid w:val="005A267A"/>
    <w:rsid w:val="005D4AF3"/>
    <w:rsid w:val="005D77F3"/>
    <w:rsid w:val="005F6D01"/>
    <w:rsid w:val="006106C5"/>
    <w:rsid w:val="006138C2"/>
    <w:rsid w:val="00631914"/>
    <w:rsid w:val="006B7C63"/>
    <w:rsid w:val="006D252C"/>
    <w:rsid w:val="006F0D52"/>
    <w:rsid w:val="00705D41"/>
    <w:rsid w:val="007072C8"/>
    <w:rsid w:val="007205BB"/>
    <w:rsid w:val="00790A59"/>
    <w:rsid w:val="007920A8"/>
    <w:rsid w:val="007A3715"/>
    <w:rsid w:val="007C189E"/>
    <w:rsid w:val="00800397"/>
    <w:rsid w:val="008253A4"/>
    <w:rsid w:val="00833057"/>
    <w:rsid w:val="00857F16"/>
    <w:rsid w:val="008601A4"/>
    <w:rsid w:val="00871259"/>
    <w:rsid w:val="00871DCC"/>
    <w:rsid w:val="00884277"/>
    <w:rsid w:val="008D3E40"/>
    <w:rsid w:val="00900BB0"/>
    <w:rsid w:val="00933564"/>
    <w:rsid w:val="00943220"/>
    <w:rsid w:val="00947CAE"/>
    <w:rsid w:val="00961940"/>
    <w:rsid w:val="009A0BDF"/>
    <w:rsid w:val="009A3B87"/>
    <w:rsid w:val="009A74CE"/>
    <w:rsid w:val="009C12E8"/>
    <w:rsid w:val="009E05B0"/>
    <w:rsid w:val="009F4F8A"/>
    <w:rsid w:val="00A5579B"/>
    <w:rsid w:val="00AD66BC"/>
    <w:rsid w:val="00AE39EE"/>
    <w:rsid w:val="00AE5AE7"/>
    <w:rsid w:val="00AE7F03"/>
    <w:rsid w:val="00AF00DC"/>
    <w:rsid w:val="00AF27E3"/>
    <w:rsid w:val="00AF6BE8"/>
    <w:rsid w:val="00B04447"/>
    <w:rsid w:val="00B233DA"/>
    <w:rsid w:val="00B247A4"/>
    <w:rsid w:val="00B53597"/>
    <w:rsid w:val="00B54ACD"/>
    <w:rsid w:val="00BC2C62"/>
    <w:rsid w:val="00BF6978"/>
    <w:rsid w:val="00C3219A"/>
    <w:rsid w:val="00C81A07"/>
    <w:rsid w:val="00C870C0"/>
    <w:rsid w:val="00C935AF"/>
    <w:rsid w:val="00CB5A2B"/>
    <w:rsid w:val="00CC2659"/>
    <w:rsid w:val="00CC706D"/>
    <w:rsid w:val="00CE3814"/>
    <w:rsid w:val="00D253BD"/>
    <w:rsid w:val="00D52267"/>
    <w:rsid w:val="00D56BAC"/>
    <w:rsid w:val="00D85971"/>
    <w:rsid w:val="00DD490A"/>
    <w:rsid w:val="00E266A8"/>
    <w:rsid w:val="00E70CE2"/>
    <w:rsid w:val="00E80705"/>
    <w:rsid w:val="00EA543B"/>
    <w:rsid w:val="00EC51B6"/>
    <w:rsid w:val="00EE31EC"/>
    <w:rsid w:val="00F47DE4"/>
    <w:rsid w:val="00F93F07"/>
    <w:rsid w:val="00FB7CDC"/>
    <w:rsid w:val="00FE3E33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DB3CF-80D8-4929-B59E-AFF56408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9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5">
    <w:name w:val="heading 5"/>
    <w:basedOn w:val="Parasts"/>
    <w:next w:val="Parasts"/>
    <w:link w:val="Virsraksts5Rakstz"/>
    <w:qFormat/>
    <w:rsid w:val="00494A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5Rakstz">
    <w:name w:val="Virsraksts 5 Rakstz."/>
    <w:basedOn w:val="Noklusjumarindkopasfonts"/>
    <w:link w:val="Virsraksts5"/>
    <w:rsid w:val="00494AC7"/>
    <w:rPr>
      <w:rFonts w:ascii="Times New Roman" w:eastAsia="Times New Roman" w:hAnsi="Times New Roman" w:cs="Times New Roman"/>
      <w:b/>
      <w:bCs/>
      <w:i/>
      <w:iCs/>
      <w:sz w:val="26"/>
      <w:szCs w:val="26"/>
      <w:lang w:eastAsia="lv-LV"/>
    </w:rPr>
  </w:style>
  <w:style w:type="paragraph" w:styleId="Sarakstarindkopa">
    <w:name w:val="List Paragraph"/>
    <w:aliases w:val="Bulletpointi,2,Tabulu virsraksts,Strip,LP1.,H&amp;P List Paragraph,Colorful List - Accent 12,Normal bullet 2,Bullet list,Syle 1,Virsraksti,Saistīto dokumentu saraksts,PPS_Bullet,Numurets,1st level - Bullet List Paragraph"/>
    <w:basedOn w:val="Parasts"/>
    <w:link w:val="SarakstarindkopaRakstz"/>
    <w:uiPriority w:val="34"/>
    <w:qFormat/>
    <w:rsid w:val="005A26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arakstarindkopaRakstz">
    <w:name w:val="Saraksta rindkopa Rakstz."/>
    <w:aliases w:val="Bulletpointi Rakstz.,2 Rakstz.,Tabulu virsraksts Rakstz.,Strip Rakstz.,LP1. Rakstz.,H&amp;P List Paragraph Rakstz.,Colorful List - Accent 12 Rakstz.,Normal bullet 2 Rakstz.,Bullet list Rakstz.,Syle 1 Rakstz.,Virsraksti Rakstz."/>
    <w:link w:val="Sarakstarindkopa"/>
    <w:uiPriority w:val="34"/>
    <w:qFormat/>
    <w:locked/>
    <w:rsid w:val="005A267A"/>
    <w:rPr>
      <w:lang w:val="en-US"/>
    </w:rPr>
  </w:style>
  <w:style w:type="character" w:customStyle="1" w:styleId="message-author--first-line">
    <w:name w:val="message-author--first-line"/>
    <w:basedOn w:val="Noklusjumarindkopasfonts"/>
    <w:rsid w:val="005141A0"/>
  </w:style>
  <w:style w:type="character" w:customStyle="1" w:styleId="callout-2">
    <w:name w:val="callout-2"/>
    <w:basedOn w:val="Noklusjumarindkopasfonts"/>
    <w:rsid w:val="005141A0"/>
  </w:style>
  <w:style w:type="character" w:customStyle="1" w:styleId="message-authortime">
    <w:name w:val="message-author__time"/>
    <w:basedOn w:val="Noklusjumarindkopasfonts"/>
    <w:rsid w:val="005141A0"/>
  </w:style>
  <w:style w:type="character" w:customStyle="1" w:styleId="caption-text">
    <w:name w:val="caption-text"/>
    <w:basedOn w:val="Noklusjumarindkopasfonts"/>
    <w:rsid w:val="005141A0"/>
  </w:style>
  <w:style w:type="table" w:styleId="Reatabula">
    <w:name w:val="Table Grid"/>
    <w:basedOn w:val="Parastatabula"/>
    <w:uiPriority w:val="39"/>
    <w:rsid w:val="005D4AF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EC5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v-LV" cap="none">
                <a:solidFill>
                  <a:sysClr val="windowText" lastClr="000000"/>
                </a:solidFill>
              </a:rPr>
              <a:t>VISC centralizētais eksāmens angļu valodā, 43 kārtotāji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Lapa1!$B$1</c:f>
              <c:strCache>
                <c:ptCount val="1"/>
                <c:pt idx="0">
                  <c:v>2022./2023.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Lapa1!$A$2:$A$21</c:f>
              <c:strCache>
                <c:ptCount val="20"/>
                <c:pt idx="0">
                  <c:v>10%</c:v>
                </c:pt>
                <c:pt idx="1">
                  <c:v>11-15%</c:v>
                </c:pt>
                <c:pt idx="2">
                  <c:v>16-20%</c:v>
                </c:pt>
                <c:pt idx="3">
                  <c:v>21-25%</c:v>
                </c:pt>
                <c:pt idx="4">
                  <c:v>26-30%</c:v>
                </c:pt>
                <c:pt idx="5">
                  <c:v>31-35%</c:v>
                </c:pt>
                <c:pt idx="6">
                  <c:v>36-40%</c:v>
                </c:pt>
                <c:pt idx="7">
                  <c:v>41-45%</c:v>
                </c:pt>
                <c:pt idx="8">
                  <c:v>46-50%</c:v>
                </c:pt>
                <c:pt idx="9">
                  <c:v>51-55%</c:v>
                </c:pt>
                <c:pt idx="10">
                  <c:v>56-60%</c:v>
                </c:pt>
                <c:pt idx="11">
                  <c:v>61-65%</c:v>
                </c:pt>
                <c:pt idx="12">
                  <c:v>66-70%</c:v>
                </c:pt>
                <c:pt idx="13">
                  <c:v>71-75%</c:v>
                </c:pt>
                <c:pt idx="14">
                  <c:v>76-80%</c:v>
                </c:pt>
                <c:pt idx="15">
                  <c:v>81-85%</c:v>
                </c:pt>
                <c:pt idx="16">
                  <c:v>86-90%</c:v>
                </c:pt>
                <c:pt idx="17">
                  <c:v>97%</c:v>
                </c:pt>
                <c:pt idx="18">
                  <c:v>B2</c:v>
                </c:pt>
                <c:pt idx="19">
                  <c:v>Vidēji procenti</c:v>
                </c:pt>
              </c:strCache>
            </c:strRef>
          </c:cat>
          <c:val>
            <c:numRef>
              <c:f>Lapa1!$B$2:$B$21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5</c:v>
                </c:pt>
                <c:pt idx="8">
                  <c:v>4</c:v>
                </c:pt>
                <c:pt idx="9">
                  <c:v>7</c:v>
                </c:pt>
                <c:pt idx="10">
                  <c:v>6</c:v>
                </c:pt>
                <c:pt idx="11">
                  <c:v>3</c:v>
                </c:pt>
                <c:pt idx="12">
                  <c:v>7</c:v>
                </c:pt>
                <c:pt idx="13">
                  <c:v>4</c:v>
                </c:pt>
                <c:pt idx="14">
                  <c:v>3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19</c:v>
                </c:pt>
                <c:pt idx="19">
                  <c:v>55.59</c:v>
                </c:pt>
              </c:numCache>
            </c:numRef>
          </c:val>
        </c:ser>
        <c:ser>
          <c:idx val="1"/>
          <c:order val="1"/>
          <c:tx>
            <c:strRef>
              <c:f>Lapa1!$C$1</c:f>
              <c:strCache>
                <c:ptCount val="1"/>
                <c:pt idx="0">
                  <c:v>2023./2024.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Lapa1!$A$2:$A$21</c:f>
              <c:strCache>
                <c:ptCount val="20"/>
                <c:pt idx="0">
                  <c:v>10%</c:v>
                </c:pt>
                <c:pt idx="1">
                  <c:v>11-15%</c:v>
                </c:pt>
                <c:pt idx="2">
                  <c:v>16-20%</c:v>
                </c:pt>
                <c:pt idx="3">
                  <c:v>21-25%</c:v>
                </c:pt>
                <c:pt idx="4">
                  <c:v>26-30%</c:v>
                </c:pt>
                <c:pt idx="5">
                  <c:v>31-35%</c:v>
                </c:pt>
                <c:pt idx="6">
                  <c:v>36-40%</c:v>
                </c:pt>
                <c:pt idx="7">
                  <c:v>41-45%</c:v>
                </c:pt>
                <c:pt idx="8">
                  <c:v>46-50%</c:v>
                </c:pt>
                <c:pt idx="9">
                  <c:v>51-55%</c:v>
                </c:pt>
                <c:pt idx="10">
                  <c:v>56-60%</c:v>
                </c:pt>
                <c:pt idx="11">
                  <c:v>61-65%</c:v>
                </c:pt>
                <c:pt idx="12">
                  <c:v>66-70%</c:v>
                </c:pt>
                <c:pt idx="13">
                  <c:v>71-75%</c:v>
                </c:pt>
                <c:pt idx="14">
                  <c:v>76-80%</c:v>
                </c:pt>
                <c:pt idx="15">
                  <c:v>81-85%</c:v>
                </c:pt>
                <c:pt idx="16">
                  <c:v>86-90%</c:v>
                </c:pt>
                <c:pt idx="17">
                  <c:v>97%</c:v>
                </c:pt>
                <c:pt idx="18">
                  <c:v>B2</c:v>
                </c:pt>
                <c:pt idx="19">
                  <c:v>Vidēji procenti</c:v>
                </c:pt>
              </c:strCache>
            </c:strRef>
          </c:cat>
          <c:val>
            <c:numRef>
              <c:f>Lapa1!$C$2:$C$21</c:f>
              <c:numCache>
                <c:formatCode>General</c:formatCode>
                <c:ptCount val="20"/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2</c:v>
                </c:pt>
                <c:pt idx="10">
                  <c:v>6</c:v>
                </c:pt>
                <c:pt idx="11">
                  <c:v>6</c:v>
                </c:pt>
                <c:pt idx="12">
                  <c:v>5</c:v>
                </c:pt>
                <c:pt idx="13">
                  <c:v>4</c:v>
                </c:pt>
                <c:pt idx="14">
                  <c:v>2</c:v>
                </c:pt>
                <c:pt idx="15">
                  <c:v>2</c:v>
                </c:pt>
                <c:pt idx="18">
                  <c:v>14</c:v>
                </c:pt>
                <c:pt idx="19">
                  <c:v>53.72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98974208"/>
        <c:axId val="298974592"/>
      </c:barChart>
      <c:catAx>
        <c:axId val="298974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98974592"/>
        <c:crosses val="autoZero"/>
        <c:auto val="1"/>
        <c:lblAlgn val="ctr"/>
        <c:lblOffset val="100"/>
        <c:noMultiLvlLbl val="0"/>
      </c:catAx>
      <c:valAx>
        <c:axId val="298974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9897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v-LV" cap="none">
                <a:solidFill>
                  <a:sysClr val="windowText" lastClr="000000"/>
                </a:solidFill>
              </a:rPr>
              <a:t>VISC centralizētais eksāmens latviešu valodā, 43 kārtotāji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Lapa1!$B$1</c:f>
              <c:strCache>
                <c:ptCount val="1"/>
                <c:pt idx="0">
                  <c:v>2022./2023.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Lapa1!$A$2:$A$17</c:f>
              <c:strCache>
                <c:ptCount val="16"/>
                <c:pt idx="0">
                  <c:v>10%</c:v>
                </c:pt>
                <c:pt idx="1">
                  <c:v>11-15%</c:v>
                </c:pt>
                <c:pt idx="2">
                  <c:v>16-20%</c:v>
                </c:pt>
                <c:pt idx="3">
                  <c:v>21-25%</c:v>
                </c:pt>
                <c:pt idx="4">
                  <c:v>26-30%</c:v>
                </c:pt>
                <c:pt idx="5">
                  <c:v>31-35%</c:v>
                </c:pt>
                <c:pt idx="6">
                  <c:v>36-4%</c:v>
                </c:pt>
                <c:pt idx="7">
                  <c:v>41-45%</c:v>
                </c:pt>
                <c:pt idx="8">
                  <c:v>46-50%</c:v>
                </c:pt>
                <c:pt idx="9">
                  <c:v>51-55%</c:v>
                </c:pt>
                <c:pt idx="10">
                  <c:v>56-60%</c:v>
                </c:pt>
                <c:pt idx="11">
                  <c:v>64%</c:v>
                </c:pt>
                <c:pt idx="12">
                  <c:v>71%</c:v>
                </c:pt>
                <c:pt idx="13">
                  <c:v>75%</c:v>
                </c:pt>
                <c:pt idx="15">
                  <c:v>vid.%</c:v>
                </c:pt>
              </c:strCache>
            </c:strRef>
          </c:cat>
          <c:val>
            <c:numRef>
              <c:f>Lapa1!$B$2:$B$17</c:f>
              <c:numCache>
                <c:formatCode>General</c:formatCode>
                <c:ptCount val="16"/>
                <c:pt idx="4">
                  <c:v>3</c:v>
                </c:pt>
                <c:pt idx="5">
                  <c:v>5</c:v>
                </c:pt>
                <c:pt idx="6">
                  <c:v>6</c:v>
                </c:pt>
                <c:pt idx="7">
                  <c:v>11</c:v>
                </c:pt>
                <c:pt idx="8">
                  <c:v>11</c:v>
                </c:pt>
                <c:pt idx="9">
                  <c:v>10</c:v>
                </c:pt>
                <c:pt idx="10">
                  <c:v>3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5">
                  <c:v>46.42</c:v>
                </c:pt>
              </c:numCache>
            </c:numRef>
          </c:val>
        </c:ser>
        <c:ser>
          <c:idx val="0"/>
          <c:order val="1"/>
          <c:tx>
            <c:strRef>
              <c:f>Lapa1!$C$1</c:f>
              <c:strCache>
                <c:ptCount val="1"/>
                <c:pt idx="0">
                  <c:v>2023./2024.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Lapa1!$A$2:$A$17</c:f>
              <c:strCache>
                <c:ptCount val="16"/>
                <c:pt idx="0">
                  <c:v>10%</c:v>
                </c:pt>
                <c:pt idx="1">
                  <c:v>11-15%</c:v>
                </c:pt>
                <c:pt idx="2">
                  <c:v>16-20%</c:v>
                </c:pt>
                <c:pt idx="3">
                  <c:v>21-25%</c:v>
                </c:pt>
                <c:pt idx="4">
                  <c:v>26-30%</c:v>
                </c:pt>
                <c:pt idx="5">
                  <c:v>31-35%</c:v>
                </c:pt>
                <c:pt idx="6">
                  <c:v>36-4%</c:v>
                </c:pt>
                <c:pt idx="7">
                  <c:v>41-45%</c:v>
                </c:pt>
                <c:pt idx="8">
                  <c:v>46-50%</c:v>
                </c:pt>
                <c:pt idx="9">
                  <c:v>51-55%</c:v>
                </c:pt>
                <c:pt idx="10">
                  <c:v>56-60%</c:v>
                </c:pt>
                <c:pt idx="11">
                  <c:v>64%</c:v>
                </c:pt>
                <c:pt idx="12">
                  <c:v>71%</c:v>
                </c:pt>
                <c:pt idx="13">
                  <c:v>75%</c:v>
                </c:pt>
                <c:pt idx="15">
                  <c:v>vid.%</c:v>
                </c:pt>
              </c:strCache>
            </c:strRef>
          </c:cat>
          <c:val>
            <c:numRef>
              <c:f>Lapa1!$C$2:$C$17</c:f>
              <c:numCache>
                <c:formatCode>General</c:formatCode>
                <c:ptCount val="16"/>
                <c:pt idx="1">
                  <c:v>1</c:v>
                </c:pt>
                <c:pt idx="2">
                  <c:v>1</c:v>
                </c:pt>
                <c:pt idx="6">
                  <c:v>4</c:v>
                </c:pt>
                <c:pt idx="7">
                  <c:v>6</c:v>
                </c:pt>
                <c:pt idx="8">
                  <c:v>9</c:v>
                </c:pt>
                <c:pt idx="9">
                  <c:v>8</c:v>
                </c:pt>
                <c:pt idx="10">
                  <c:v>4</c:v>
                </c:pt>
                <c:pt idx="11">
                  <c:v>4</c:v>
                </c:pt>
                <c:pt idx="12">
                  <c:v>2</c:v>
                </c:pt>
                <c:pt idx="13">
                  <c:v>1</c:v>
                </c:pt>
                <c:pt idx="15">
                  <c:v>52.16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98438544"/>
        <c:axId val="298438928"/>
      </c:barChart>
      <c:catAx>
        <c:axId val="298438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98438928"/>
        <c:crosses val="autoZero"/>
        <c:auto val="1"/>
        <c:lblAlgn val="ctr"/>
        <c:lblOffset val="100"/>
        <c:noMultiLvlLbl val="0"/>
      </c:catAx>
      <c:valAx>
        <c:axId val="2984389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98438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v-LV" cap="none"/>
              <a:t>VISC centralizētais eksāmens matemātikā optimālajā līmenī, 45 kārtotāji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12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2.2948938611589215E-2"/>
          <c:y val="0.3994084021705876"/>
          <c:w val="0.94951233505450372"/>
          <c:h val="0.4856357985926605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Lapa1!$B$1</c:f>
              <c:strCache>
                <c:ptCount val="1"/>
                <c:pt idx="0">
                  <c:v>2022./2023.m.g.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Lapa1!$A$2:$A$12</c:f>
              <c:strCache>
                <c:ptCount val="11"/>
                <c:pt idx="0">
                  <c:v>nav rezultāta</c:v>
                </c:pt>
                <c:pt idx="1">
                  <c:v>10%</c:v>
                </c:pt>
                <c:pt idx="2">
                  <c:v>11-15%</c:v>
                </c:pt>
                <c:pt idx="3">
                  <c:v>15%</c:v>
                </c:pt>
                <c:pt idx="4">
                  <c:v>16-20%</c:v>
                </c:pt>
                <c:pt idx="5">
                  <c:v>21-25%</c:v>
                </c:pt>
                <c:pt idx="6">
                  <c:v>26-30%</c:v>
                </c:pt>
                <c:pt idx="7">
                  <c:v>31-35%</c:v>
                </c:pt>
                <c:pt idx="8">
                  <c:v>36-40%</c:v>
                </c:pt>
                <c:pt idx="9">
                  <c:v>41%</c:v>
                </c:pt>
                <c:pt idx="10">
                  <c:v>Vidēji procenti</c:v>
                </c:pt>
              </c:strCache>
            </c:strRef>
          </c:cat>
          <c:val>
            <c:numRef>
              <c:f>Lapa1!$B$2:$B$12</c:f>
              <c:numCache>
                <c:formatCode>General</c:formatCode>
                <c:ptCount val="11"/>
                <c:pt idx="0">
                  <c:v>19</c:v>
                </c:pt>
                <c:pt idx="1">
                  <c:v>2</c:v>
                </c:pt>
                <c:pt idx="2">
                  <c:v>16</c:v>
                </c:pt>
                <c:pt idx="4">
                  <c:v>9</c:v>
                </c:pt>
                <c:pt idx="5">
                  <c:v>2</c:v>
                </c:pt>
                <c:pt idx="7">
                  <c:v>1</c:v>
                </c:pt>
                <c:pt idx="9">
                  <c:v>1</c:v>
                </c:pt>
                <c:pt idx="10">
                  <c:v>16.16</c:v>
                </c:pt>
              </c:numCache>
            </c:numRef>
          </c:val>
        </c:ser>
        <c:ser>
          <c:idx val="0"/>
          <c:order val="1"/>
          <c:tx>
            <c:strRef>
              <c:f>Lapa1!$C$1</c:f>
              <c:strCache>
                <c:ptCount val="1"/>
                <c:pt idx="0">
                  <c:v>2023./2024.m.g.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Lapa1!$A$2:$A$12</c:f>
              <c:strCache>
                <c:ptCount val="11"/>
                <c:pt idx="0">
                  <c:v>nav rezultāta</c:v>
                </c:pt>
                <c:pt idx="1">
                  <c:v>10%</c:v>
                </c:pt>
                <c:pt idx="2">
                  <c:v>11-15%</c:v>
                </c:pt>
                <c:pt idx="3">
                  <c:v>15%</c:v>
                </c:pt>
                <c:pt idx="4">
                  <c:v>16-20%</c:v>
                </c:pt>
                <c:pt idx="5">
                  <c:v>21-25%</c:v>
                </c:pt>
                <c:pt idx="6">
                  <c:v>26-30%</c:v>
                </c:pt>
                <c:pt idx="7">
                  <c:v>31-35%</c:v>
                </c:pt>
                <c:pt idx="8">
                  <c:v>36-40%</c:v>
                </c:pt>
                <c:pt idx="9">
                  <c:v>41%</c:v>
                </c:pt>
                <c:pt idx="10">
                  <c:v>Vidēji procenti</c:v>
                </c:pt>
              </c:strCache>
            </c:strRef>
          </c:cat>
          <c:val>
            <c:numRef>
              <c:f>Lapa1!$C$2:$C$12</c:f>
              <c:numCache>
                <c:formatCode>General</c:formatCode>
                <c:ptCount val="11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  <c:pt idx="5">
                  <c:v>5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10">
                  <c:v>14.2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98264248"/>
        <c:axId val="297390856"/>
      </c:barChart>
      <c:catAx>
        <c:axId val="298264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97390856"/>
        <c:crosses val="autoZero"/>
        <c:auto val="1"/>
        <c:lblAlgn val="ctr"/>
        <c:lblOffset val="100"/>
        <c:noMultiLvlLbl val="0"/>
      </c:catAx>
      <c:valAx>
        <c:axId val="297390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98264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Lapa1!$B$1</c:f>
              <c:strCache>
                <c:ptCount val="1"/>
                <c:pt idx="0">
                  <c:v>Valstī 2022./2023.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Lapa1!$A$2:$A$4</c:f>
              <c:strCache>
                <c:ptCount val="3"/>
                <c:pt idx="0">
                  <c:v>Matemātika OL</c:v>
                </c:pt>
                <c:pt idx="1">
                  <c:v>Latviešu val.OL</c:v>
                </c:pt>
                <c:pt idx="2">
                  <c:v>Angļu val. OL</c:v>
                </c:pt>
              </c:strCache>
            </c:strRef>
          </c:cat>
          <c:val>
            <c:numRef>
              <c:f>Lapa1!$B$2:$B$4</c:f>
              <c:numCache>
                <c:formatCode>General</c:formatCode>
                <c:ptCount val="3"/>
                <c:pt idx="0">
                  <c:v>35.1</c:v>
                </c:pt>
                <c:pt idx="1">
                  <c:v>53.8</c:v>
                </c:pt>
                <c:pt idx="2">
                  <c:v>63</c:v>
                </c:pt>
              </c:numCache>
            </c:numRef>
          </c:val>
        </c:ser>
        <c:ser>
          <c:idx val="1"/>
          <c:order val="1"/>
          <c:tx>
            <c:strRef>
              <c:f>Lapa1!$C$1</c:f>
              <c:strCache>
                <c:ptCount val="1"/>
                <c:pt idx="0">
                  <c:v>KTTT 2022./2023.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Lapa1!$A$2:$A$4</c:f>
              <c:strCache>
                <c:ptCount val="3"/>
                <c:pt idx="0">
                  <c:v>Matemātika OL</c:v>
                </c:pt>
                <c:pt idx="1">
                  <c:v>Latviešu val.OL</c:v>
                </c:pt>
                <c:pt idx="2">
                  <c:v>Angļu val. OL</c:v>
                </c:pt>
              </c:strCache>
            </c:strRef>
          </c:cat>
          <c:val>
            <c:numRef>
              <c:f>Lapa1!$C$2:$C$4</c:f>
              <c:numCache>
                <c:formatCode>General</c:formatCode>
                <c:ptCount val="3"/>
                <c:pt idx="0">
                  <c:v>12.6</c:v>
                </c:pt>
                <c:pt idx="1">
                  <c:v>47.4</c:v>
                </c:pt>
                <c:pt idx="2">
                  <c:v>55.6</c:v>
                </c:pt>
              </c:numCache>
            </c:numRef>
          </c:val>
        </c:ser>
        <c:ser>
          <c:idx val="2"/>
          <c:order val="2"/>
          <c:tx>
            <c:strRef>
              <c:f>Lapa1!$D$1</c:f>
              <c:strCache>
                <c:ptCount val="1"/>
                <c:pt idx="0">
                  <c:v>Valstī 2023./2024.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Lapa1!$A$2:$A$4</c:f>
              <c:strCache>
                <c:ptCount val="3"/>
                <c:pt idx="0">
                  <c:v>Matemātika OL</c:v>
                </c:pt>
                <c:pt idx="1">
                  <c:v>Latviešu val.OL</c:v>
                </c:pt>
                <c:pt idx="2">
                  <c:v>Angļu val. OL</c:v>
                </c:pt>
              </c:strCache>
            </c:strRef>
          </c:cat>
          <c:val>
            <c:numRef>
              <c:f>Lapa1!$D$2:$D$4</c:f>
              <c:numCache>
                <c:formatCode>General</c:formatCode>
                <c:ptCount val="3"/>
                <c:pt idx="0">
                  <c:v>34.299999999999997</c:v>
                </c:pt>
                <c:pt idx="1">
                  <c:v>55.4</c:v>
                </c:pt>
                <c:pt idx="2">
                  <c:v>61.9</c:v>
                </c:pt>
              </c:numCache>
            </c:numRef>
          </c:val>
        </c:ser>
        <c:ser>
          <c:idx val="3"/>
          <c:order val="3"/>
          <c:tx>
            <c:strRef>
              <c:f>Lapa1!$E$1</c:f>
              <c:strCache>
                <c:ptCount val="1"/>
                <c:pt idx="0">
                  <c:v>KTTT 2023./2024.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Lapa1!$A$2:$A$4</c:f>
              <c:strCache>
                <c:ptCount val="3"/>
                <c:pt idx="0">
                  <c:v>Matemātika OL</c:v>
                </c:pt>
                <c:pt idx="1">
                  <c:v>Latviešu val.OL</c:v>
                </c:pt>
                <c:pt idx="2">
                  <c:v>Angļu val. OL</c:v>
                </c:pt>
              </c:strCache>
            </c:strRef>
          </c:cat>
          <c:val>
            <c:numRef>
              <c:f>Lapa1!$E$2:$E$4</c:f>
              <c:numCache>
                <c:formatCode>General</c:formatCode>
                <c:ptCount val="3"/>
                <c:pt idx="0">
                  <c:v>14.2</c:v>
                </c:pt>
                <c:pt idx="1">
                  <c:v>52.16</c:v>
                </c:pt>
                <c:pt idx="2">
                  <c:v>53.72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7388112"/>
        <c:axId val="297384192"/>
      </c:barChart>
      <c:catAx>
        <c:axId val="29738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97384192"/>
        <c:crosses val="autoZero"/>
        <c:auto val="1"/>
        <c:lblAlgn val="ctr"/>
        <c:lblOffset val="100"/>
        <c:noMultiLvlLbl val="0"/>
      </c:catAx>
      <c:valAx>
        <c:axId val="29738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9738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3201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Parzine</dc:creator>
  <cp:keywords/>
  <dc:description/>
  <cp:lastModifiedBy>Parzine</cp:lastModifiedBy>
  <cp:revision>10</cp:revision>
  <dcterms:created xsi:type="dcterms:W3CDTF">2024-10-09T11:39:00Z</dcterms:created>
  <dcterms:modified xsi:type="dcterms:W3CDTF">2024-10-14T07:50:00Z</dcterms:modified>
</cp:coreProperties>
</file>