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A0" w:rsidRPr="009A3B87" w:rsidRDefault="005552A0" w:rsidP="005552A0">
      <w:pPr>
        <w:tabs>
          <w:tab w:val="left" w:pos="7873"/>
        </w:tabs>
        <w:jc w:val="center"/>
        <w:rPr>
          <w:b/>
          <w:sz w:val="44"/>
          <w:szCs w:val="44"/>
        </w:rPr>
      </w:pPr>
      <w:bookmarkStart w:id="0" w:name="_GoBack"/>
      <w:bookmarkEnd w:id="0"/>
      <w:r w:rsidRPr="009A3B87">
        <w:rPr>
          <w:b/>
          <w:sz w:val="44"/>
          <w:szCs w:val="44"/>
        </w:rPr>
        <w:t>Kuldīgas Tehnoloģiju un tūrisma tehnikuma</w:t>
      </w:r>
    </w:p>
    <w:p w:rsidR="009A3B87" w:rsidRPr="009A3B87" w:rsidRDefault="00E049A1" w:rsidP="005552A0">
      <w:pPr>
        <w:tabs>
          <w:tab w:val="left" w:pos="7873"/>
        </w:tabs>
        <w:jc w:val="center"/>
        <w:rPr>
          <w:b/>
          <w:sz w:val="44"/>
          <w:szCs w:val="44"/>
        </w:rPr>
      </w:pPr>
      <w:r>
        <w:rPr>
          <w:b/>
          <w:sz w:val="44"/>
          <w:szCs w:val="44"/>
        </w:rPr>
        <w:t>2024./2025</w:t>
      </w:r>
      <w:r w:rsidR="005552A0" w:rsidRPr="009A3B87">
        <w:rPr>
          <w:b/>
          <w:sz w:val="44"/>
          <w:szCs w:val="44"/>
        </w:rPr>
        <w:t>.</w:t>
      </w:r>
      <w:r>
        <w:rPr>
          <w:b/>
          <w:sz w:val="44"/>
          <w:szCs w:val="44"/>
        </w:rPr>
        <w:t xml:space="preserve">mācību </w:t>
      </w:r>
      <w:r w:rsidR="005552A0" w:rsidRPr="009A3B87">
        <w:rPr>
          <w:b/>
          <w:sz w:val="44"/>
          <w:szCs w:val="44"/>
        </w:rPr>
        <w:t xml:space="preserve">gada centralizēto eksāmenu statistika </w:t>
      </w:r>
    </w:p>
    <w:p w:rsidR="005552A0" w:rsidRPr="009A3B87" w:rsidRDefault="009A3B87" w:rsidP="005552A0">
      <w:pPr>
        <w:tabs>
          <w:tab w:val="left" w:pos="7873"/>
        </w:tabs>
        <w:jc w:val="center"/>
        <w:rPr>
          <w:b/>
          <w:sz w:val="32"/>
          <w:szCs w:val="32"/>
        </w:rPr>
      </w:pPr>
      <w:r w:rsidRPr="009A3B87">
        <w:rPr>
          <w:b/>
          <w:sz w:val="32"/>
          <w:szCs w:val="32"/>
        </w:rPr>
        <w:t>(grafisk</w:t>
      </w:r>
      <w:r w:rsidR="00E049A1">
        <w:rPr>
          <w:b/>
          <w:sz w:val="32"/>
          <w:szCs w:val="32"/>
        </w:rPr>
        <w:t>ais salīdzinājums ar 2022./2023.</w:t>
      </w:r>
      <w:r w:rsidRPr="009A3B87">
        <w:rPr>
          <w:b/>
          <w:sz w:val="32"/>
          <w:szCs w:val="32"/>
        </w:rPr>
        <w:t>m.g.</w:t>
      </w:r>
      <w:r w:rsidR="00E049A1">
        <w:rPr>
          <w:b/>
          <w:sz w:val="32"/>
          <w:szCs w:val="32"/>
        </w:rPr>
        <w:t xml:space="preserve"> un 2023./2024.m.g.</w:t>
      </w:r>
      <w:r w:rsidRPr="009A3B87">
        <w:rPr>
          <w:b/>
          <w:sz w:val="32"/>
          <w:szCs w:val="32"/>
        </w:rPr>
        <w:t xml:space="preserve">) </w:t>
      </w:r>
    </w:p>
    <w:p w:rsidR="005A267A" w:rsidRPr="0042461D" w:rsidRDefault="005A267A" w:rsidP="005A267A">
      <w:pPr>
        <w:pStyle w:val="Sarakstarindkopa"/>
        <w:spacing w:after="0" w:line="240" w:lineRule="auto"/>
        <w:jc w:val="both"/>
        <w:rPr>
          <w:rFonts w:ascii="Times New Roman" w:hAnsi="Times New Roman" w:cs="Times New Roman"/>
          <w:sz w:val="24"/>
          <w:szCs w:val="24"/>
          <w:lang w:val="lv-LV"/>
        </w:rPr>
      </w:pPr>
    </w:p>
    <w:p w:rsidR="005A267A" w:rsidRPr="0042461D" w:rsidRDefault="005A267A" w:rsidP="005A267A">
      <w:r w:rsidRPr="0042461D">
        <w:rPr>
          <w:noProof/>
        </w:rPr>
        <w:drawing>
          <wp:inline distT="0" distB="0" distL="0" distR="0" wp14:anchorId="16AA0F97" wp14:editId="1524DEA3">
            <wp:extent cx="6042660" cy="2965450"/>
            <wp:effectExtent l="0" t="0" r="15240" b="6350"/>
            <wp:docPr id="5" name="Diagram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266A8" w:rsidRDefault="005A267A" w:rsidP="005A267A">
      <w:r>
        <w:t xml:space="preserve"> </w:t>
      </w:r>
    </w:p>
    <w:p w:rsidR="007072C8" w:rsidRDefault="007072C8" w:rsidP="005A267A">
      <w:r>
        <w:t xml:space="preserve"> </w:t>
      </w:r>
      <w:r w:rsidR="00E266A8">
        <w:t xml:space="preserve">2022./2023.m.g. </w:t>
      </w:r>
      <w:r>
        <w:t xml:space="preserve">angļu valodas </w:t>
      </w:r>
      <w:r w:rsidR="00E266A8">
        <w:t>eksāmenu kārtoja 55 izglītojamie, 2023./2024.m.g. - 43 izglītojamie</w:t>
      </w:r>
      <w:r w:rsidR="00E049A1">
        <w:t>, 2024./2025.m.g. - 62 izglītojamie</w:t>
      </w:r>
      <w:r w:rsidR="00E266A8">
        <w:t xml:space="preserve">. </w:t>
      </w:r>
      <w:r>
        <w:t xml:space="preserve"> </w:t>
      </w:r>
    </w:p>
    <w:p w:rsidR="007072C8" w:rsidRPr="00E049A1" w:rsidRDefault="009027E1" w:rsidP="005A267A">
      <w:pPr>
        <w:rPr>
          <w:highlight w:val="yellow"/>
        </w:rPr>
      </w:pPr>
      <w:r>
        <w:t xml:space="preserve"> </w:t>
      </w:r>
      <w:r w:rsidR="00B13665">
        <w:t>Eksāmena rezultāti par</w:t>
      </w:r>
      <w:r w:rsidR="00403CFC">
        <w:t xml:space="preserve">āda, ka izglītojamo zināšanu līmenis ir </w:t>
      </w:r>
      <w:r>
        <w:t xml:space="preserve">stabils. Diemžēl ir jaunieši, kuri trīs gadu laikā zināšanas nav uzlabojuši. Laba iespēja papildināt zināšanas ir dalība </w:t>
      </w:r>
      <w:proofErr w:type="spellStart"/>
      <w:r>
        <w:t>Erasmus</w:t>
      </w:r>
      <w:proofErr w:type="spellEnd"/>
      <w:r>
        <w:t xml:space="preserve">+ projektos, šo iespēju izmantojot, jaunieši ievērojami uzlabo rezultātus </w:t>
      </w:r>
      <w:r w:rsidR="00AE1090">
        <w:t xml:space="preserve">tieši eksāmena </w:t>
      </w:r>
      <w:r>
        <w:t>mutvārdu daļā.</w:t>
      </w:r>
    </w:p>
    <w:p w:rsidR="007072C8" w:rsidRPr="009027E1" w:rsidRDefault="007072C8" w:rsidP="005A267A">
      <w:r w:rsidRPr="00B13665">
        <w:t xml:space="preserve"> </w:t>
      </w:r>
      <w:r w:rsidR="00B13665" w:rsidRPr="00B13665">
        <w:t>4 izglītojamie</w:t>
      </w:r>
      <w:r w:rsidRPr="00B13665">
        <w:t xml:space="preserve"> nesasniedza </w:t>
      </w:r>
      <w:r w:rsidR="00B13665" w:rsidRPr="00B13665">
        <w:t xml:space="preserve">20 </w:t>
      </w:r>
      <w:r w:rsidRPr="00B13665">
        <w:t xml:space="preserve">% </w:t>
      </w:r>
      <w:r w:rsidRPr="009027E1">
        <w:t>robežu</w:t>
      </w:r>
      <w:r w:rsidR="00AE1090">
        <w:t>. Š</w:t>
      </w:r>
      <w:r w:rsidR="00403CFC" w:rsidRPr="009027E1">
        <w:t>iem jauniešiem</w:t>
      </w:r>
      <w:r w:rsidR="00AE1090">
        <w:t>,</w:t>
      </w:r>
      <w:r w:rsidR="00403CFC" w:rsidRPr="009027E1">
        <w:t xml:space="preserve"> jau uzsākot mācības tehnikumā</w:t>
      </w:r>
      <w:r w:rsidR="00AE1090">
        <w:t>,</w:t>
      </w:r>
      <w:r w:rsidR="00403CFC" w:rsidRPr="009027E1">
        <w:t xml:space="preserve"> tika diagnosticētas ļoti vājas </w:t>
      </w:r>
      <w:proofErr w:type="spellStart"/>
      <w:r w:rsidR="00403CFC" w:rsidRPr="009027E1">
        <w:t>pamatzināšanas</w:t>
      </w:r>
      <w:proofErr w:type="spellEnd"/>
      <w:r w:rsidR="00403CFC" w:rsidRPr="009027E1">
        <w:t xml:space="preserve"> un</w:t>
      </w:r>
      <w:r w:rsidR="009027E1" w:rsidRPr="009027E1">
        <w:t xml:space="preserve"> </w:t>
      </w:r>
      <w:r w:rsidR="00AE1090">
        <w:t>viņi neieguldīja papildus darbu</w:t>
      </w:r>
      <w:r w:rsidR="009027E1" w:rsidRPr="009027E1">
        <w:t>, lai</w:t>
      </w:r>
      <w:r w:rsidR="00AE1090">
        <w:t xml:space="preserve"> zināšanas</w:t>
      </w:r>
      <w:r w:rsidR="009027E1" w:rsidRPr="009027E1">
        <w:t xml:space="preserve"> uzlabotu.</w:t>
      </w:r>
      <w:r w:rsidR="00403CFC" w:rsidRPr="009027E1">
        <w:t xml:space="preserve"> </w:t>
      </w:r>
    </w:p>
    <w:p w:rsidR="005A267A" w:rsidRDefault="005A267A" w:rsidP="005A267A"/>
    <w:p w:rsidR="00AE1090" w:rsidRDefault="00AE1090" w:rsidP="005A267A"/>
    <w:p w:rsidR="00AE1090" w:rsidRPr="0042461D" w:rsidRDefault="00AE1090" w:rsidP="005A267A"/>
    <w:p w:rsidR="005A267A" w:rsidRPr="0042461D" w:rsidRDefault="005A267A" w:rsidP="005A267A">
      <w:r w:rsidRPr="0042461D">
        <w:rPr>
          <w:noProof/>
        </w:rPr>
        <w:lastRenderedPageBreak/>
        <w:drawing>
          <wp:inline distT="0" distB="0" distL="0" distR="0" wp14:anchorId="427DD155" wp14:editId="6FD4739B">
            <wp:extent cx="5542059" cy="2194560"/>
            <wp:effectExtent l="0" t="0" r="1905" b="1524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42461D">
        <w:t xml:space="preserve"> </w:t>
      </w:r>
    </w:p>
    <w:p w:rsidR="002F78A2" w:rsidRDefault="002F78A2" w:rsidP="00AE1090">
      <w:pPr>
        <w:spacing w:line="360" w:lineRule="auto"/>
      </w:pPr>
    </w:p>
    <w:p w:rsidR="00EC51B6" w:rsidRDefault="005A267A" w:rsidP="00AE1090">
      <w:pPr>
        <w:spacing w:line="360" w:lineRule="auto"/>
      </w:pPr>
      <w:r w:rsidRPr="00FA1B6C">
        <w:t xml:space="preserve"> </w:t>
      </w:r>
      <w:r w:rsidR="001458F4">
        <w:t>2022./2023.m.g. eksāmenu kārtoja 54 izglītojamie, 2023./2024.m.g. - 43 izglītojamie</w:t>
      </w:r>
      <w:r w:rsidR="00FA79B4">
        <w:t>, 2024./2025.m.g.- 61</w:t>
      </w:r>
      <w:r w:rsidR="001458F4">
        <w:t>.</w:t>
      </w:r>
    </w:p>
    <w:p w:rsidR="00AE1090" w:rsidRDefault="00AE1090" w:rsidP="00AE1090">
      <w:pPr>
        <w:spacing w:line="360" w:lineRule="auto"/>
      </w:pPr>
      <w:r>
        <w:t>Eksāmenu rezultāti trīs gadu griezumā ir līdzīgi. Šo</w:t>
      </w:r>
      <w:r w:rsidR="008735AC">
        <w:t>gad divi izglītojamie nesasniedza 20% . Par to pedagogi jau mācību laikā bija izteikuši prognozes, pie tam izglītojamie paši apzinājās, ka ir valodas apguves grūtības un viņiem grūti formulēt argumentētu viedokli, tādējādi nespējot iegūt punktus tur, kur citiem tā nav problēma.</w:t>
      </w:r>
    </w:p>
    <w:p w:rsidR="002F78A2" w:rsidRDefault="002F78A2" w:rsidP="00AE1090">
      <w:pPr>
        <w:spacing w:line="360" w:lineRule="auto"/>
      </w:pPr>
    </w:p>
    <w:p w:rsidR="002F78A2" w:rsidRDefault="002F78A2" w:rsidP="00AE1090">
      <w:pPr>
        <w:spacing w:line="360" w:lineRule="auto"/>
      </w:pPr>
    </w:p>
    <w:p w:rsidR="008735AC" w:rsidRPr="00AE1090" w:rsidRDefault="008735AC" w:rsidP="00AE1090">
      <w:pPr>
        <w:spacing w:line="360" w:lineRule="auto"/>
      </w:pPr>
    </w:p>
    <w:p w:rsidR="00814F47" w:rsidRDefault="00814F47" w:rsidP="005A267A">
      <w:pPr>
        <w:spacing w:line="360" w:lineRule="auto"/>
        <w:rPr>
          <w:i/>
        </w:rPr>
      </w:pPr>
    </w:p>
    <w:p w:rsidR="00814F47" w:rsidRDefault="00814F47" w:rsidP="005A267A">
      <w:pPr>
        <w:spacing w:line="360" w:lineRule="auto"/>
        <w:rPr>
          <w:i/>
        </w:rPr>
      </w:pPr>
    </w:p>
    <w:p w:rsidR="00814F47" w:rsidRDefault="00814F47" w:rsidP="005A267A">
      <w:pPr>
        <w:spacing w:line="360" w:lineRule="auto"/>
        <w:rPr>
          <w:i/>
        </w:rPr>
      </w:pPr>
    </w:p>
    <w:p w:rsidR="005A267A" w:rsidRPr="0042461D" w:rsidRDefault="005A267A" w:rsidP="005A267A">
      <w:pPr>
        <w:spacing w:line="360" w:lineRule="auto"/>
        <w:rPr>
          <w:i/>
        </w:rPr>
      </w:pPr>
      <w:r w:rsidRPr="0042461D">
        <w:rPr>
          <w:i/>
        </w:rPr>
        <w:t xml:space="preserve">  </w:t>
      </w:r>
    </w:p>
    <w:p w:rsidR="00FA79B4" w:rsidRDefault="00201882" w:rsidP="005A267A">
      <w:pPr>
        <w:spacing w:before="240" w:line="276" w:lineRule="auto"/>
      </w:pPr>
      <w:r>
        <w:rPr>
          <w:noProof/>
        </w:rPr>
        <w:drawing>
          <wp:inline distT="0" distB="0" distL="0" distR="0" wp14:anchorId="4DC10FF0" wp14:editId="028D5A6F">
            <wp:extent cx="5772150" cy="4480560"/>
            <wp:effectExtent l="0" t="0" r="0" b="1524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58F4" w:rsidRDefault="001458F4" w:rsidP="005A267A">
      <w:pPr>
        <w:spacing w:before="240" w:line="276" w:lineRule="auto"/>
      </w:pPr>
      <w:r>
        <w:t>2022./2023.m.g. eksāmenu kārtoja 54 izglītojamie</w:t>
      </w:r>
      <w:r w:rsidR="00C3219A">
        <w:t xml:space="preserve">, </w:t>
      </w:r>
      <w:r w:rsidR="00C3219A" w:rsidRPr="00C3219A">
        <w:t>10 % neieguva 19 audzēkņi</w:t>
      </w:r>
      <w:r w:rsidRPr="00C3219A">
        <w:t>, 2023./2024.m.g. - 45 izglītojamie</w:t>
      </w:r>
      <w:r w:rsidR="00C3219A" w:rsidRPr="00C3219A">
        <w:t>, 15 % neieguva 27 audzēkņi</w:t>
      </w:r>
      <w:r w:rsidR="00385BA0">
        <w:t>, no tiem 10 eksāmenu kārtoja atkārtoti</w:t>
      </w:r>
      <w:r w:rsidR="004D3BD5">
        <w:t>, 2024./2025.m.g.-72 izgl</w:t>
      </w:r>
      <w:r w:rsidR="00FA79B4">
        <w:t>ītojamie,</w:t>
      </w:r>
      <w:r w:rsidR="00FA79B4" w:rsidRPr="00FA79B4">
        <w:t xml:space="preserve"> </w:t>
      </w:r>
      <w:r w:rsidR="00FA79B4">
        <w:t>no tiem 12 eksāmenu kārtoja atkārtoti</w:t>
      </w:r>
      <w:r w:rsidRPr="00C3219A">
        <w:t>.</w:t>
      </w:r>
    </w:p>
    <w:p w:rsidR="008735AC" w:rsidRDefault="008735AC" w:rsidP="005A267A">
      <w:pPr>
        <w:spacing w:before="240" w:line="276" w:lineRule="auto"/>
      </w:pPr>
      <w:r>
        <w:t xml:space="preserve">Izglītojamie uz tehnikumu atnāk ar ļoti atšķirīgām </w:t>
      </w:r>
      <w:proofErr w:type="spellStart"/>
      <w:r>
        <w:t>pamatzināšanām</w:t>
      </w:r>
      <w:proofErr w:type="spellEnd"/>
      <w:r>
        <w:t xml:space="preserve"> un jau 1.kursā gan paši izglītojamie, gan viņu vecāki atzīst, ka jau pamatizglītības pakāpē(no 6., 7.klases) ir bijušās problēmas matemātikā. Ja izglītojamie neiegulda papildus darbu, pedagogi nespēj panākt, ka izglītojamais varēs sasniegt nepieciešamo zināšanu līmeni, lai nokārtotu eksāmenu.</w:t>
      </w:r>
    </w:p>
    <w:p w:rsidR="008735AC" w:rsidRDefault="008735AC" w:rsidP="005A267A">
      <w:pPr>
        <w:spacing w:before="240" w:line="276" w:lineRule="auto"/>
      </w:pPr>
      <w:r>
        <w:t xml:space="preserve">Vairāki izglītojamie mācību gada laikā strādāja papildus ar privātskolotājiem, diemžēl viņu </w:t>
      </w:r>
      <w:proofErr w:type="spellStart"/>
      <w:r>
        <w:t>psihoemocionālais</w:t>
      </w:r>
      <w:proofErr w:type="spellEnd"/>
      <w:r>
        <w:t xml:space="preserve"> stāvoklis, veselības problēmas bija par iemeslu tam, ka izglītojamie eksāmenu nenokārtoja. </w:t>
      </w:r>
      <w:r w:rsidR="00992EFD">
        <w:t>Tikai 2 no izglītojamajiem, kuri eksāmenu kārtoja atkārtoti, eksāmenu nokārtoja.</w:t>
      </w:r>
    </w:p>
    <w:p w:rsidR="00992EFD" w:rsidRDefault="00992EFD" w:rsidP="005A267A">
      <w:pPr>
        <w:spacing w:before="240" w:line="276" w:lineRule="auto"/>
      </w:pPr>
    </w:p>
    <w:p w:rsidR="002F78A2" w:rsidRDefault="002F78A2" w:rsidP="005A267A">
      <w:pPr>
        <w:spacing w:before="240" w:line="276" w:lineRule="auto"/>
      </w:pPr>
    </w:p>
    <w:p w:rsidR="002F78A2" w:rsidRDefault="002F78A2" w:rsidP="005A267A">
      <w:pPr>
        <w:spacing w:before="240" w:line="276" w:lineRule="auto"/>
      </w:pPr>
    </w:p>
    <w:p w:rsidR="002F78A2" w:rsidRDefault="002F78A2" w:rsidP="005A267A">
      <w:pPr>
        <w:spacing w:before="240" w:line="276" w:lineRule="auto"/>
      </w:pPr>
    </w:p>
    <w:p w:rsidR="00992EFD" w:rsidRDefault="00992EFD" w:rsidP="005A267A">
      <w:pPr>
        <w:spacing w:before="240" w:line="276" w:lineRule="auto"/>
      </w:pPr>
      <w:r>
        <w:t>Visu centralizēto eksāmenu rezultātus ietekmē:</w:t>
      </w:r>
    </w:p>
    <w:p w:rsidR="00992EFD" w:rsidRDefault="00992EFD" w:rsidP="005A267A">
      <w:pPr>
        <w:spacing w:before="240" w:line="276" w:lineRule="auto"/>
      </w:pPr>
    </w:p>
    <w:p w:rsidR="00992EFD" w:rsidRPr="00992EFD" w:rsidRDefault="00992EFD" w:rsidP="00992EFD">
      <w:pPr>
        <w:pStyle w:val="Sarakstarindkopa"/>
        <w:numPr>
          <w:ilvl w:val="0"/>
          <w:numId w:val="2"/>
        </w:numPr>
        <w:spacing w:after="200" w:line="276" w:lineRule="auto"/>
        <w:rPr>
          <w:rFonts w:ascii="Times New Roman" w:hAnsi="Times New Roman" w:cs="Times New Roman"/>
          <w:sz w:val="24"/>
          <w:szCs w:val="24"/>
        </w:rPr>
      </w:pPr>
      <w:proofErr w:type="spellStart"/>
      <w:r w:rsidRPr="00992EFD">
        <w:rPr>
          <w:rFonts w:ascii="Times New Roman" w:hAnsi="Times New Roman" w:cs="Times New Roman"/>
          <w:sz w:val="24"/>
          <w:szCs w:val="24"/>
        </w:rPr>
        <w:t>Kavējumi</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darbošanās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jaunsardzē</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autoskola</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darba</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attiecību</w:t>
      </w:r>
      <w:proofErr w:type="spellEnd"/>
      <w:r w:rsidRPr="00992EFD">
        <w:rPr>
          <w:rFonts w:ascii="Times New Roman" w:hAnsi="Times New Roman" w:cs="Times New Roman"/>
          <w:sz w:val="24"/>
          <w:szCs w:val="24"/>
        </w:rPr>
        <w:t xml:space="preserve"> </w:t>
      </w:r>
      <w:proofErr w:type="spellStart"/>
      <w:proofErr w:type="gramStart"/>
      <w:r w:rsidRPr="00992EFD">
        <w:rPr>
          <w:rFonts w:ascii="Times New Roman" w:hAnsi="Times New Roman" w:cs="Times New Roman"/>
          <w:sz w:val="24"/>
          <w:szCs w:val="24"/>
        </w:rPr>
        <w:t>uzsākšana</w:t>
      </w:r>
      <w:proofErr w:type="spellEnd"/>
      <w:r w:rsidRPr="00992EFD">
        <w:rPr>
          <w:rFonts w:ascii="Times New Roman" w:hAnsi="Times New Roman" w:cs="Times New Roman"/>
          <w:sz w:val="24"/>
          <w:szCs w:val="24"/>
        </w:rPr>
        <w:t>(</w:t>
      </w:r>
      <w:proofErr w:type="spellStart"/>
      <w:proofErr w:type="gramEnd"/>
      <w:r w:rsidRPr="00992EFD">
        <w:rPr>
          <w:rFonts w:ascii="Times New Roman" w:hAnsi="Times New Roman" w:cs="Times New Roman"/>
          <w:sz w:val="24"/>
          <w:szCs w:val="24"/>
        </w:rPr>
        <w:t>ģimenes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finaansiālās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situācijas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dēļ</w:t>
      </w:r>
      <w:proofErr w:type="spellEnd"/>
      <w:r w:rsidRPr="00992EFD">
        <w:rPr>
          <w:rFonts w:ascii="Times New Roman" w:hAnsi="Times New Roman" w:cs="Times New Roman"/>
          <w:sz w:val="24"/>
          <w:szCs w:val="24"/>
        </w:rPr>
        <w:t xml:space="preserve">) un </w:t>
      </w:r>
      <w:proofErr w:type="spellStart"/>
      <w:r w:rsidRPr="00992EFD">
        <w:rPr>
          <w:rFonts w:ascii="Times New Roman" w:hAnsi="Times New Roman" w:cs="Times New Roman"/>
          <w:sz w:val="24"/>
          <w:szCs w:val="24"/>
        </w:rPr>
        <w:t>neprasme</w:t>
      </w:r>
      <w:proofErr w:type="spellEnd"/>
      <w:r w:rsidRPr="00992EFD">
        <w:rPr>
          <w:rFonts w:ascii="Times New Roman" w:hAnsi="Times New Roman" w:cs="Times New Roman"/>
          <w:sz w:val="24"/>
          <w:szCs w:val="24"/>
        </w:rPr>
        <w:t xml:space="preserve"> to </w:t>
      </w:r>
      <w:proofErr w:type="spellStart"/>
      <w:r w:rsidRPr="00992EFD">
        <w:rPr>
          <w:rFonts w:ascii="Times New Roman" w:hAnsi="Times New Roman" w:cs="Times New Roman"/>
          <w:sz w:val="24"/>
          <w:szCs w:val="24"/>
        </w:rPr>
        <w:t>apvienot</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ar</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mācībām</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Izglītojamie</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nestrādā</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regulāri</w:t>
      </w:r>
      <w:proofErr w:type="spellEnd"/>
      <w:r w:rsidRPr="00992EFD">
        <w:rPr>
          <w:rFonts w:ascii="Times New Roman" w:hAnsi="Times New Roman" w:cs="Times New Roman"/>
          <w:sz w:val="24"/>
          <w:szCs w:val="24"/>
        </w:rPr>
        <w:t xml:space="preserve"> </w:t>
      </w:r>
      <w:proofErr w:type="gramStart"/>
      <w:r w:rsidRPr="00992EFD">
        <w:rPr>
          <w:rFonts w:ascii="Times New Roman" w:hAnsi="Times New Roman" w:cs="Times New Roman"/>
          <w:sz w:val="24"/>
          <w:szCs w:val="24"/>
        </w:rPr>
        <w:t>un</w:t>
      </w:r>
      <w:proofErr w:type="gram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arī</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neuzskatīja</w:t>
      </w:r>
      <w:proofErr w:type="spellEnd"/>
      <w:r w:rsidRPr="00992EFD">
        <w:rPr>
          <w:rFonts w:ascii="Times New Roman" w:hAnsi="Times New Roman" w:cs="Times New Roman"/>
          <w:sz w:val="24"/>
          <w:szCs w:val="24"/>
        </w:rPr>
        <w:t xml:space="preserve"> par </w:t>
      </w:r>
      <w:proofErr w:type="spellStart"/>
      <w:r w:rsidRPr="00992EFD">
        <w:rPr>
          <w:rFonts w:ascii="Times New Roman" w:hAnsi="Times New Roman" w:cs="Times New Roman"/>
          <w:sz w:val="24"/>
          <w:szCs w:val="24"/>
        </w:rPr>
        <w:t>vajadzību</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apmeklēt</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tās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konsultācijas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kas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tika</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piedāvātas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pirms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eksāmena</w:t>
      </w:r>
      <w:proofErr w:type="spellEnd"/>
      <w:r w:rsidRPr="00992EFD">
        <w:rPr>
          <w:rFonts w:ascii="Times New Roman" w:hAnsi="Times New Roman" w:cs="Times New Roman"/>
          <w:sz w:val="24"/>
          <w:szCs w:val="24"/>
        </w:rPr>
        <w:t xml:space="preserve">. </w:t>
      </w:r>
    </w:p>
    <w:p w:rsidR="00385BA0" w:rsidRPr="00992EFD" w:rsidRDefault="00385BA0" w:rsidP="00385BA0">
      <w:pPr>
        <w:pStyle w:val="Sarakstarindkopa"/>
        <w:numPr>
          <w:ilvl w:val="0"/>
          <w:numId w:val="2"/>
        </w:numPr>
        <w:spacing w:after="200" w:line="276" w:lineRule="auto"/>
        <w:rPr>
          <w:rFonts w:ascii="Times New Roman" w:hAnsi="Times New Roman" w:cs="Times New Roman"/>
          <w:sz w:val="24"/>
          <w:szCs w:val="24"/>
        </w:rPr>
      </w:pPr>
      <w:proofErr w:type="spellStart"/>
      <w:r w:rsidRPr="00992EFD">
        <w:rPr>
          <w:rFonts w:ascii="Times New Roman" w:hAnsi="Times New Roman" w:cs="Times New Roman"/>
          <w:sz w:val="24"/>
          <w:szCs w:val="24"/>
        </w:rPr>
        <w:t>Motivācijas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trūkums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Diemžēl</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skolēni</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izvēlas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vieglāko</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ceļu</w:t>
      </w:r>
      <w:proofErr w:type="spellEnd"/>
      <w:r w:rsidRPr="00992EFD">
        <w:rPr>
          <w:rFonts w:ascii="Times New Roman" w:hAnsi="Times New Roman" w:cs="Times New Roman"/>
          <w:sz w:val="24"/>
          <w:szCs w:val="24"/>
        </w:rPr>
        <w:t xml:space="preserve"> – </w:t>
      </w:r>
      <w:proofErr w:type="spellStart"/>
      <w:r w:rsidRPr="00992EFD">
        <w:rPr>
          <w:rFonts w:ascii="Times New Roman" w:hAnsi="Times New Roman" w:cs="Times New Roman"/>
          <w:sz w:val="24"/>
          <w:szCs w:val="24"/>
        </w:rPr>
        <w:t>nedarīt</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nedomāt</w:t>
      </w:r>
      <w:proofErr w:type="spellEnd"/>
      <w:r w:rsidRPr="00992EFD">
        <w:rPr>
          <w:rFonts w:ascii="Times New Roman" w:hAnsi="Times New Roman" w:cs="Times New Roman"/>
          <w:sz w:val="24"/>
          <w:szCs w:val="24"/>
        </w:rPr>
        <w:t xml:space="preserve">, </w:t>
      </w:r>
      <w:proofErr w:type="gramStart"/>
      <w:r w:rsidR="00992EFD" w:rsidRPr="00992EFD">
        <w:rPr>
          <w:rFonts w:ascii="Times New Roman" w:hAnsi="Times New Roman" w:cs="Times New Roman"/>
          <w:sz w:val="24"/>
          <w:szCs w:val="24"/>
        </w:rPr>
        <w:t>jo</w:t>
      </w:r>
      <w:proofErr w:type="gramEnd"/>
      <w:r w:rsidR="00992EFD" w:rsidRPr="00992EFD">
        <w:rPr>
          <w:rFonts w:ascii="Times New Roman" w:hAnsi="Times New Roman" w:cs="Times New Roman"/>
          <w:sz w:val="24"/>
          <w:szCs w:val="24"/>
        </w:rPr>
        <w:t xml:space="preserve"> “man </w:t>
      </w:r>
      <w:proofErr w:type="spellStart"/>
      <w:r w:rsidR="00992EFD" w:rsidRPr="00992EFD">
        <w:rPr>
          <w:rFonts w:ascii="Times New Roman" w:hAnsi="Times New Roman" w:cs="Times New Roman"/>
          <w:sz w:val="24"/>
          <w:szCs w:val="24"/>
        </w:rPr>
        <w:t>jau</w:t>
      </w:r>
      <w:proofErr w:type="spellEnd"/>
      <w:r w:rsidR="00992EFD" w:rsidRPr="00992EFD">
        <w:rPr>
          <w:rFonts w:ascii="Times New Roman" w:hAnsi="Times New Roman" w:cs="Times New Roman"/>
          <w:sz w:val="24"/>
          <w:szCs w:val="24"/>
        </w:rPr>
        <w:t xml:space="preserve"> </w:t>
      </w:r>
      <w:proofErr w:type="spellStart"/>
      <w:r w:rsidR="00992EFD" w:rsidRPr="00992EFD">
        <w:rPr>
          <w:rFonts w:ascii="Times New Roman" w:hAnsi="Times New Roman" w:cs="Times New Roman"/>
          <w:sz w:val="24"/>
          <w:szCs w:val="24"/>
        </w:rPr>
        <w:t>tāpat</w:t>
      </w:r>
      <w:proofErr w:type="spellEnd"/>
      <w:r w:rsidR="00992EFD" w:rsidRPr="00992EFD">
        <w:rPr>
          <w:rFonts w:ascii="Times New Roman" w:hAnsi="Times New Roman" w:cs="Times New Roman"/>
          <w:sz w:val="24"/>
          <w:szCs w:val="24"/>
        </w:rPr>
        <w:t xml:space="preserve"> </w:t>
      </w:r>
      <w:proofErr w:type="spellStart"/>
      <w:r w:rsidR="00992EFD" w:rsidRPr="00992EFD">
        <w:rPr>
          <w:rFonts w:ascii="Times New Roman" w:hAnsi="Times New Roman" w:cs="Times New Roman"/>
          <w:sz w:val="24"/>
          <w:szCs w:val="24"/>
        </w:rPr>
        <w:t>nekas</w:t>
      </w:r>
      <w:proofErr w:type="spellEnd"/>
      <w:r w:rsidR="00992EFD" w:rsidRPr="00992EFD">
        <w:rPr>
          <w:rFonts w:ascii="Times New Roman" w:hAnsi="Times New Roman" w:cs="Times New Roman"/>
          <w:sz w:val="24"/>
          <w:szCs w:val="24"/>
        </w:rPr>
        <w:t xml:space="preserve"> </w:t>
      </w:r>
      <w:proofErr w:type="spellStart"/>
      <w:r w:rsidR="00992EFD" w:rsidRPr="00992EFD">
        <w:rPr>
          <w:rFonts w:ascii="Times New Roman" w:hAnsi="Times New Roman" w:cs="Times New Roman"/>
          <w:sz w:val="24"/>
          <w:szCs w:val="24"/>
        </w:rPr>
        <w:t>nesanāks</w:t>
      </w:r>
      <w:proofErr w:type="spellEnd"/>
      <w:r w:rsidR="00992EFD" w:rsidRPr="00992EFD">
        <w:rPr>
          <w:rFonts w:ascii="Times New Roman" w:hAnsi="Times New Roman" w:cs="Times New Roman"/>
          <w:sz w:val="24"/>
          <w:szCs w:val="24"/>
        </w:rPr>
        <w:t>”.</w:t>
      </w:r>
    </w:p>
    <w:p w:rsidR="00385BA0" w:rsidRPr="00992EFD" w:rsidRDefault="00992EFD" w:rsidP="00385BA0">
      <w:pPr>
        <w:pStyle w:val="Sarakstarindkopa"/>
        <w:numPr>
          <w:ilvl w:val="0"/>
          <w:numId w:val="2"/>
        </w:numPr>
        <w:spacing w:after="200" w:line="276" w:lineRule="auto"/>
        <w:rPr>
          <w:rFonts w:ascii="Times New Roman" w:hAnsi="Times New Roman" w:cs="Times New Roman"/>
          <w:sz w:val="24"/>
          <w:szCs w:val="24"/>
        </w:rPr>
      </w:pPr>
      <w:proofErr w:type="spellStart"/>
      <w:r w:rsidRPr="00992EFD">
        <w:rPr>
          <w:rFonts w:ascii="Times New Roman" w:hAnsi="Times New Roman" w:cs="Times New Roman"/>
          <w:sz w:val="24"/>
          <w:szCs w:val="24"/>
        </w:rPr>
        <w:t>Atšķirīgs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stundu</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skaits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ar</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vispārējās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izglītības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iestādēm</w:t>
      </w:r>
      <w:proofErr w:type="spellEnd"/>
      <w:r w:rsidRPr="00992EFD">
        <w:rPr>
          <w:rFonts w:ascii="Times New Roman" w:hAnsi="Times New Roman" w:cs="Times New Roman"/>
          <w:sz w:val="24"/>
          <w:szCs w:val="24"/>
        </w:rPr>
        <w:t xml:space="preserve">, bet </w:t>
      </w:r>
      <w:proofErr w:type="spellStart"/>
      <w:r w:rsidRPr="00992EFD">
        <w:rPr>
          <w:rFonts w:ascii="Times New Roman" w:hAnsi="Times New Roman" w:cs="Times New Roman"/>
          <w:sz w:val="24"/>
          <w:szCs w:val="24"/>
        </w:rPr>
        <w:t>eksāmens</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ir</w:t>
      </w:r>
      <w:proofErr w:type="spellEnd"/>
      <w:r w:rsidRPr="00992EFD">
        <w:rPr>
          <w:rFonts w:ascii="Times New Roman" w:hAnsi="Times New Roman" w:cs="Times New Roman"/>
          <w:sz w:val="24"/>
          <w:szCs w:val="24"/>
        </w:rPr>
        <w:t xml:space="preserve"> </w:t>
      </w:r>
      <w:proofErr w:type="spellStart"/>
      <w:r w:rsidRPr="00992EFD">
        <w:rPr>
          <w:rFonts w:ascii="Times New Roman" w:hAnsi="Times New Roman" w:cs="Times New Roman"/>
          <w:sz w:val="24"/>
          <w:szCs w:val="24"/>
        </w:rPr>
        <w:t>vienāds</w:t>
      </w:r>
      <w:proofErr w:type="spellEnd"/>
      <w:r w:rsidRPr="00992EFD">
        <w:rPr>
          <w:rFonts w:ascii="Times New Roman" w:hAnsi="Times New Roman" w:cs="Times New Roman"/>
          <w:sz w:val="24"/>
          <w:szCs w:val="24"/>
        </w:rPr>
        <w:t>.</w:t>
      </w:r>
    </w:p>
    <w:p w:rsidR="00385BA0" w:rsidRPr="00992EFD" w:rsidRDefault="00AD66BC" w:rsidP="007E00C6">
      <w:pPr>
        <w:pStyle w:val="Sarakstarindkopa"/>
        <w:numPr>
          <w:ilvl w:val="0"/>
          <w:numId w:val="2"/>
        </w:numPr>
        <w:spacing w:after="200" w:line="276" w:lineRule="auto"/>
        <w:rPr>
          <w:sz w:val="24"/>
          <w:szCs w:val="24"/>
        </w:rPr>
      </w:pPr>
      <w:proofErr w:type="spellStart"/>
      <w:r w:rsidRPr="00992EFD">
        <w:rPr>
          <w:rFonts w:ascii="Times New Roman" w:hAnsi="Times New Roman" w:cs="Times New Roman"/>
          <w:sz w:val="24"/>
          <w:szCs w:val="24"/>
        </w:rPr>
        <w:t>P</w:t>
      </w:r>
      <w:r w:rsidR="00385BA0" w:rsidRPr="00992EFD">
        <w:rPr>
          <w:rFonts w:ascii="Times New Roman" w:hAnsi="Times New Roman" w:cs="Times New Roman"/>
          <w:sz w:val="24"/>
          <w:szCs w:val="24"/>
        </w:rPr>
        <w:t>ašvadītas</w:t>
      </w:r>
      <w:proofErr w:type="spellEnd"/>
      <w:r w:rsidR="00385BA0" w:rsidRPr="00992EFD">
        <w:rPr>
          <w:rFonts w:ascii="Times New Roman" w:hAnsi="Times New Roman" w:cs="Times New Roman"/>
          <w:sz w:val="24"/>
          <w:szCs w:val="24"/>
        </w:rPr>
        <w:t xml:space="preserve"> </w:t>
      </w:r>
      <w:proofErr w:type="spellStart"/>
      <w:r w:rsidR="00385BA0" w:rsidRPr="00992EFD">
        <w:rPr>
          <w:rFonts w:ascii="Times New Roman" w:hAnsi="Times New Roman" w:cs="Times New Roman"/>
          <w:sz w:val="24"/>
          <w:szCs w:val="24"/>
        </w:rPr>
        <w:t>mācīšanās</w:t>
      </w:r>
      <w:proofErr w:type="spellEnd"/>
      <w:r w:rsidR="00385BA0" w:rsidRPr="00992EFD">
        <w:rPr>
          <w:rFonts w:ascii="Times New Roman" w:hAnsi="Times New Roman" w:cs="Times New Roman"/>
          <w:sz w:val="24"/>
          <w:szCs w:val="24"/>
        </w:rPr>
        <w:t xml:space="preserve"> </w:t>
      </w:r>
      <w:proofErr w:type="spellStart"/>
      <w:r w:rsidR="00385BA0" w:rsidRPr="00992EFD">
        <w:rPr>
          <w:rFonts w:ascii="Times New Roman" w:hAnsi="Times New Roman" w:cs="Times New Roman"/>
          <w:sz w:val="24"/>
          <w:szCs w:val="24"/>
        </w:rPr>
        <w:t>trūkums</w:t>
      </w:r>
      <w:proofErr w:type="spellEnd"/>
      <w:r w:rsidR="00385BA0" w:rsidRPr="00992EFD">
        <w:rPr>
          <w:rFonts w:ascii="Times New Roman" w:hAnsi="Times New Roman" w:cs="Times New Roman"/>
          <w:sz w:val="24"/>
          <w:szCs w:val="24"/>
        </w:rPr>
        <w:t xml:space="preserve">. </w:t>
      </w:r>
    </w:p>
    <w:p w:rsidR="00385BA0" w:rsidRPr="00385BA0" w:rsidRDefault="00385BA0" w:rsidP="00385BA0">
      <w:pPr>
        <w:spacing w:line="276" w:lineRule="auto"/>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985"/>
        <w:gridCol w:w="2395"/>
        <w:gridCol w:w="2268"/>
      </w:tblGrid>
      <w:tr w:rsidR="00B53597" w:rsidTr="00AD66BC">
        <w:trPr>
          <w:trHeight w:val="717"/>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3597" w:rsidRDefault="00B53597" w:rsidP="00A221BF">
            <w:pPr>
              <w:jc w:val="center"/>
              <w:rPr>
                <w:rFonts w:eastAsiaTheme="minorHAnsi"/>
                <w:b/>
                <w:sz w:val="18"/>
                <w:szCs w:val="20"/>
              </w:rPr>
            </w:pPr>
          </w:p>
          <w:p w:rsidR="00B53597" w:rsidRDefault="00B53597" w:rsidP="00A221BF">
            <w:pPr>
              <w:jc w:val="center"/>
              <w:rPr>
                <w:b/>
                <w:bCs/>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53597" w:rsidRDefault="00B53597" w:rsidP="00A221BF">
            <w:pPr>
              <w:jc w:val="center"/>
              <w:rPr>
                <w:b/>
                <w:bCs/>
                <w:color w:val="000000"/>
                <w:sz w:val="20"/>
                <w:szCs w:val="20"/>
              </w:rPr>
            </w:pPr>
            <w:r>
              <w:rPr>
                <w:b/>
                <w:bCs/>
                <w:color w:val="000000"/>
                <w:sz w:val="20"/>
                <w:szCs w:val="20"/>
              </w:rPr>
              <w:t>Latviešu valoda OL</w:t>
            </w:r>
          </w:p>
        </w:tc>
        <w:tc>
          <w:tcPr>
            <w:tcW w:w="2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53597" w:rsidRDefault="00B53597" w:rsidP="00A221BF">
            <w:pPr>
              <w:jc w:val="center"/>
              <w:rPr>
                <w:b/>
                <w:bCs/>
                <w:color w:val="000000"/>
                <w:sz w:val="20"/>
                <w:szCs w:val="20"/>
              </w:rPr>
            </w:pPr>
            <w:r>
              <w:rPr>
                <w:b/>
                <w:bCs/>
                <w:color w:val="000000"/>
                <w:sz w:val="20"/>
                <w:szCs w:val="20"/>
              </w:rPr>
              <w:t>Matemātika OL</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53597" w:rsidRDefault="00B53597" w:rsidP="00A221BF">
            <w:pPr>
              <w:jc w:val="center"/>
              <w:rPr>
                <w:b/>
                <w:bCs/>
                <w:color w:val="000000"/>
                <w:sz w:val="20"/>
                <w:szCs w:val="20"/>
              </w:rPr>
            </w:pPr>
            <w:r>
              <w:rPr>
                <w:b/>
                <w:bCs/>
                <w:color w:val="000000"/>
                <w:sz w:val="20"/>
                <w:szCs w:val="20"/>
              </w:rPr>
              <w:t>Angļu valoda OL</w:t>
            </w:r>
          </w:p>
        </w:tc>
      </w:tr>
      <w:tr w:rsidR="00B53597" w:rsidRPr="00343EED" w:rsidTr="00AD66BC">
        <w:trPr>
          <w:trHeight w:val="717"/>
        </w:trPr>
        <w:tc>
          <w:tcPr>
            <w:tcW w:w="2142" w:type="dxa"/>
            <w:tcBorders>
              <w:top w:val="single" w:sz="4" w:space="0" w:color="auto"/>
              <w:left w:val="single" w:sz="4" w:space="0" w:color="auto"/>
              <w:bottom w:val="single" w:sz="4" w:space="0" w:color="auto"/>
              <w:right w:val="single" w:sz="4" w:space="0" w:color="auto"/>
            </w:tcBorders>
          </w:tcPr>
          <w:p w:rsidR="00B53597" w:rsidRPr="00343EED" w:rsidRDefault="00B53597" w:rsidP="00A221BF">
            <w:pPr>
              <w:jc w:val="center"/>
              <w:rPr>
                <w:sz w:val="28"/>
                <w:szCs w:val="28"/>
              </w:rPr>
            </w:pPr>
          </w:p>
          <w:p w:rsidR="00B53597" w:rsidRPr="00343EED" w:rsidRDefault="00B53597" w:rsidP="00A221BF">
            <w:pPr>
              <w:jc w:val="center"/>
              <w:rPr>
                <w:b/>
                <w:sz w:val="28"/>
                <w:szCs w:val="28"/>
              </w:rPr>
            </w:pPr>
            <w:r w:rsidRPr="00343EED">
              <w:rPr>
                <w:b/>
                <w:sz w:val="28"/>
                <w:szCs w:val="28"/>
              </w:rPr>
              <w:t>Tehnikumā</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B53597" w:rsidRPr="00343EED" w:rsidRDefault="00FA79B4" w:rsidP="00FA79B4">
            <w:pPr>
              <w:jc w:val="center"/>
              <w:rPr>
                <w:b/>
                <w:bCs/>
                <w:sz w:val="28"/>
                <w:szCs w:val="28"/>
              </w:rPr>
            </w:pPr>
            <w:r>
              <w:rPr>
                <w:b/>
                <w:bCs/>
                <w:sz w:val="28"/>
                <w:szCs w:val="28"/>
              </w:rPr>
              <w:t>48,6</w:t>
            </w:r>
          </w:p>
        </w:tc>
        <w:tc>
          <w:tcPr>
            <w:tcW w:w="2395" w:type="dxa"/>
            <w:tcBorders>
              <w:top w:val="single" w:sz="4" w:space="0" w:color="auto"/>
              <w:left w:val="single" w:sz="4" w:space="0" w:color="auto"/>
              <w:bottom w:val="single" w:sz="4" w:space="0" w:color="auto"/>
              <w:right w:val="single" w:sz="4" w:space="0" w:color="auto"/>
            </w:tcBorders>
            <w:noWrap/>
            <w:vAlign w:val="center"/>
          </w:tcPr>
          <w:p w:rsidR="00B53597" w:rsidRPr="00343EED" w:rsidRDefault="00362F13" w:rsidP="00FA79B4">
            <w:pPr>
              <w:jc w:val="center"/>
              <w:rPr>
                <w:b/>
                <w:bCs/>
                <w:sz w:val="28"/>
                <w:szCs w:val="28"/>
              </w:rPr>
            </w:pPr>
            <w:r>
              <w:rPr>
                <w:b/>
                <w:bCs/>
                <w:sz w:val="28"/>
                <w:szCs w:val="28"/>
              </w:rPr>
              <w:t>14,</w:t>
            </w:r>
            <w:r w:rsidR="00FA79B4">
              <w:rPr>
                <w:b/>
                <w:bCs/>
                <w:sz w:val="28"/>
                <w:szCs w:val="28"/>
              </w:rPr>
              <w:t>8</w:t>
            </w:r>
          </w:p>
        </w:tc>
        <w:tc>
          <w:tcPr>
            <w:tcW w:w="2268" w:type="dxa"/>
            <w:tcBorders>
              <w:top w:val="single" w:sz="4" w:space="0" w:color="auto"/>
              <w:left w:val="single" w:sz="4" w:space="0" w:color="auto"/>
              <w:bottom w:val="single" w:sz="4" w:space="0" w:color="auto"/>
              <w:right w:val="single" w:sz="4" w:space="0" w:color="auto"/>
            </w:tcBorders>
            <w:noWrap/>
            <w:vAlign w:val="center"/>
          </w:tcPr>
          <w:p w:rsidR="00B53597" w:rsidRPr="00343EED" w:rsidRDefault="00FA79B4" w:rsidP="00A221BF">
            <w:pPr>
              <w:jc w:val="center"/>
              <w:rPr>
                <w:b/>
                <w:bCs/>
                <w:sz w:val="28"/>
                <w:szCs w:val="28"/>
              </w:rPr>
            </w:pPr>
            <w:r>
              <w:rPr>
                <w:b/>
                <w:bCs/>
                <w:sz w:val="28"/>
                <w:szCs w:val="28"/>
              </w:rPr>
              <w:t>52,5</w:t>
            </w:r>
          </w:p>
        </w:tc>
      </w:tr>
      <w:tr w:rsidR="00B53597" w:rsidRPr="00343EED" w:rsidTr="00AD66BC">
        <w:trPr>
          <w:trHeight w:val="717"/>
        </w:trPr>
        <w:tc>
          <w:tcPr>
            <w:tcW w:w="2142" w:type="dxa"/>
            <w:tcBorders>
              <w:top w:val="single" w:sz="4" w:space="0" w:color="auto"/>
              <w:left w:val="single" w:sz="4" w:space="0" w:color="auto"/>
              <w:bottom w:val="single" w:sz="4" w:space="0" w:color="auto"/>
              <w:right w:val="single" w:sz="4" w:space="0" w:color="auto"/>
            </w:tcBorders>
          </w:tcPr>
          <w:p w:rsidR="00B53597" w:rsidRPr="00343EED" w:rsidRDefault="00B53597" w:rsidP="00A221BF">
            <w:pPr>
              <w:jc w:val="center"/>
              <w:rPr>
                <w:sz w:val="28"/>
                <w:szCs w:val="28"/>
              </w:rPr>
            </w:pPr>
          </w:p>
          <w:p w:rsidR="00B53597" w:rsidRPr="00343EED" w:rsidRDefault="00B53597" w:rsidP="00A221BF">
            <w:pPr>
              <w:jc w:val="center"/>
              <w:rPr>
                <w:b/>
                <w:sz w:val="28"/>
                <w:szCs w:val="28"/>
              </w:rPr>
            </w:pPr>
            <w:r w:rsidRPr="00343EED">
              <w:rPr>
                <w:b/>
                <w:sz w:val="28"/>
                <w:szCs w:val="28"/>
              </w:rPr>
              <w:t>Valstī</w:t>
            </w:r>
          </w:p>
        </w:tc>
        <w:tc>
          <w:tcPr>
            <w:tcW w:w="1985" w:type="dxa"/>
            <w:tcBorders>
              <w:top w:val="single" w:sz="4" w:space="0" w:color="auto"/>
              <w:left w:val="single" w:sz="4" w:space="0" w:color="auto"/>
              <w:bottom w:val="single" w:sz="4" w:space="0" w:color="auto"/>
              <w:right w:val="single" w:sz="4" w:space="0" w:color="auto"/>
            </w:tcBorders>
            <w:noWrap/>
            <w:vAlign w:val="center"/>
          </w:tcPr>
          <w:p w:rsidR="00B53597" w:rsidRPr="00343EED" w:rsidRDefault="00FA79B4" w:rsidP="00A221BF">
            <w:pPr>
              <w:jc w:val="center"/>
              <w:rPr>
                <w:b/>
                <w:bCs/>
                <w:sz w:val="28"/>
                <w:szCs w:val="28"/>
              </w:rPr>
            </w:pPr>
            <w:r>
              <w:rPr>
                <w:b/>
                <w:bCs/>
                <w:sz w:val="28"/>
                <w:szCs w:val="28"/>
              </w:rPr>
              <w:t>55,97</w:t>
            </w:r>
          </w:p>
        </w:tc>
        <w:tc>
          <w:tcPr>
            <w:tcW w:w="2395" w:type="dxa"/>
            <w:tcBorders>
              <w:top w:val="single" w:sz="4" w:space="0" w:color="auto"/>
              <w:left w:val="single" w:sz="4" w:space="0" w:color="auto"/>
              <w:bottom w:val="single" w:sz="4" w:space="0" w:color="auto"/>
              <w:right w:val="single" w:sz="4" w:space="0" w:color="auto"/>
            </w:tcBorders>
            <w:noWrap/>
            <w:vAlign w:val="center"/>
          </w:tcPr>
          <w:p w:rsidR="00B53597" w:rsidRPr="00343EED" w:rsidRDefault="00FA79B4" w:rsidP="00A221BF">
            <w:pPr>
              <w:jc w:val="center"/>
              <w:rPr>
                <w:b/>
                <w:bCs/>
                <w:sz w:val="28"/>
                <w:szCs w:val="28"/>
              </w:rPr>
            </w:pPr>
            <w:r>
              <w:rPr>
                <w:b/>
                <w:bCs/>
                <w:sz w:val="28"/>
                <w:szCs w:val="28"/>
              </w:rPr>
              <w:t>43,72</w:t>
            </w:r>
          </w:p>
        </w:tc>
        <w:tc>
          <w:tcPr>
            <w:tcW w:w="2268" w:type="dxa"/>
            <w:tcBorders>
              <w:top w:val="single" w:sz="4" w:space="0" w:color="auto"/>
              <w:left w:val="single" w:sz="4" w:space="0" w:color="auto"/>
              <w:bottom w:val="single" w:sz="4" w:space="0" w:color="auto"/>
              <w:right w:val="single" w:sz="4" w:space="0" w:color="auto"/>
            </w:tcBorders>
            <w:noWrap/>
            <w:vAlign w:val="center"/>
          </w:tcPr>
          <w:p w:rsidR="00B53597" w:rsidRPr="00343EED" w:rsidRDefault="00FA79B4" w:rsidP="00A221BF">
            <w:pPr>
              <w:jc w:val="center"/>
              <w:rPr>
                <w:b/>
                <w:bCs/>
                <w:sz w:val="28"/>
                <w:szCs w:val="28"/>
              </w:rPr>
            </w:pPr>
            <w:r>
              <w:rPr>
                <w:b/>
                <w:bCs/>
                <w:sz w:val="28"/>
                <w:szCs w:val="28"/>
              </w:rPr>
              <w:t>62,58</w:t>
            </w:r>
          </w:p>
        </w:tc>
      </w:tr>
    </w:tbl>
    <w:p w:rsidR="005A267A" w:rsidRDefault="005A267A" w:rsidP="005A267A">
      <w:pPr>
        <w:spacing w:line="360" w:lineRule="auto"/>
        <w:jc w:val="center"/>
        <w:rPr>
          <w:b/>
          <w:sz w:val="32"/>
          <w:szCs w:val="32"/>
        </w:rPr>
      </w:pPr>
    </w:p>
    <w:p w:rsidR="005A267A" w:rsidRPr="00A8443A" w:rsidRDefault="00385BA0" w:rsidP="005A267A">
      <w:pPr>
        <w:rPr>
          <w:b/>
          <w:sz w:val="32"/>
          <w:szCs w:val="32"/>
        </w:rPr>
      </w:pPr>
      <w:r>
        <w:rPr>
          <w:b/>
          <w:sz w:val="32"/>
          <w:szCs w:val="32"/>
        </w:rPr>
        <w:t>T</w:t>
      </w:r>
      <w:r w:rsidR="005A267A">
        <w:rPr>
          <w:b/>
          <w:sz w:val="32"/>
          <w:szCs w:val="32"/>
        </w:rPr>
        <w:t xml:space="preserve">ehnikuma </w:t>
      </w:r>
      <w:r w:rsidR="005A267A" w:rsidRPr="00A8443A">
        <w:rPr>
          <w:b/>
          <w:sz w:val="32"/>
          <w:szCs w:val="32"/>
        </w:rPr>
        <w:t>CE rezultātu salīdzinājums ar valsts rezultātiem</w:t>
      </w:r>
    </w:p>
    <w:p w:rsidR="005A267A" w:rsidRPr="00FA1B6C" w:rsidRDefault="005A267A" w:rsidP="005A267A">
      <w:r w:rsidRPr="00FA1B6C">
        <w:rPr>
          <w:b/>
          <w:noProof/>
        </w:rPr>
        <w:drawing>
          <wp:inline distT="0" distB="0" distL="0" distR="0" wp14:anchorId="6A4F25BD" wp14:editId="7967BB3E">
            <wp:extent cx="4945711" cy="2536466"/>
            <wp:effectExtent l="0" t="0" r="7620" b="1651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78A2" w:rsidRDefault="002F78A2" w:rsidP="00992EFD">
      <w:pPr>
        <w:pStyle w:val="Sarakstarindkopa"/>
        <w:rPr>
          <w:rFonts w:ascii="Times New Roman" w:hAnsi="Times New Roman" w:cs="Times New Roman"/>
          <w:sz w:val="24"/>
          <w:szCs w:val="24"/>
          <w:highlight w:val="yellow"/>
        </w:rPr>
      </w:pPr>
    </w:p>
    <w:p w:rsidR="005A267A" w:rsidRPr="00992EFD" w:rsidRDefault="002F78A2" w:rsidP="002F78A2">
      <w:pPr>
        <w:pStyle w:val="Sarakstarindkopa"/>
        <w:ind w:left="0"/>
        <w:rPr>
          <w:rFonts w:ascii="Times New Roman" w:hAnsi="Times New Roman" w:cs="Times New Roman"/>
          <w:sz w:val="24"/>
          <w:szCs w:val="24"/>
        </w:rPr>
      </w:pPr>
      <w:r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Neraugoties</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uz</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rezultātiem</w:t>
      </w:r>
      <w:proofErr w:type="spellEnd"/>
      <w:r w:rsidR="00992EFD"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mūsu</w:t>
      </w:r>
      <w:proofErr w:type="spellEnd"/>
      <w:r w:rsidR="005A267A"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pedagogi</w:t>
      </w:r>
      <w:proofErr w:type="spellEnd"/>
      <w:r w:rsidR="005A267A" w:rsidRPr="002F78A2">
        <w:rPr>
          <w:rFonts w:ascii="Times New Roman" w:hAnsi="Times New Roman" w:cs="Times New Roman"/>
          <w:sz w:val="24"/>
          <w:szCs w:val="24"/>
        </w:rPr>
        <w:t xml:space="preserve"> </w:t>
      </w:r>
      <w:proofErr w:type="spellStart"/>
      <w:proofErr w:type="gramStart"/>
      <w:r w:rsidR="00992EFD" w:rsidRPr="002F78A2">
        <w:rPr>
          <w:rFonts w:ascii="Times New Roman" w:hAnsi="Times New Roman" w:cs="Times New Roman"/>
          <w:sz w:val="24"/>
          <w:szCs w:val="24"/>
        </w:rPr>
        <w:t>iegulda</w:t>
      </w:r>
      <w:proofErr w:type="spellEnd"/>
      <w:r w:rsidR="00992EFD" w:rsidRPr="002F78A2">
        <w:rPr>
          <w:rFonts w:ascii="Times New Roman" w:hAnsi="Times New Roman" w:cs="Times New Roman"/>
          <w:sz w:val="24"/>
          <w:szCs w:val="24"/>
        </w:rPr>
        <w:t xml:space="preserve"> </w:t>
      </w:r>
      <w:r w:rsidR="005A267A"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milzīgu</w:t>
      </w:r>
      <w:proofErr w:type="spellEnd"/>
      <w:proofErr w:type="gramEnd"/>
      <w:r w:rsidR="00992EFD"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darbu</w:t>
      </w:r>
      <w:proofErr w:type="spellEnd"/>
      <w:r w:rsidR="005A267A"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izglītojamo</w:t>
      </w:r>
      <w:proofErr w:type="spellEnd"/>
      <w:r w:rsidR="00992EFD"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sagatavošanā</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centralizētajiem</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eksāmeniem</w:t>
      </w:r>
      <w:proofErr w:type="spellEnd"/>
      <w:r w:rsidR="005A267A" w:rsidRPr="002F78A2">
        <w:rPr>
          <w:rFonts w:ascii="Times New Roman" w:hAnsi="Times New Roman" w:cs="Times New Roman"/>
          <w:sz w:val="24"/>
          <w:szCs w:val="24"/>
        </w:rPr>
        <w:t>,</w:t>
      </w:r>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rezultāti</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atbilst</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izglītības</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iestādes</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prognozēm</w:t>
      </w:r>
      <w:proofErr w:type="spellEnd"/>
      <w:r w:rsidR="00992EFD"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kontingentam</w:t>
      </w:r>
      <w:proofErr w:type="spellEnd"/>
      <w:r w:rsidR="005A267A" w:rsidRPr="002F78A2">
        <w:rPr>
          <w:rFonts w:ascii="Times New Roman" w:hAnsi="Times New Roman" w:cs="Times New Roman"/>
          <w:sz w:val="24"/>
          <w:szCs w:val="24"/>
        </w:rPr>
        <w:t xml:space="preserve"> un </w:t>
      </w:r>
      <w:proofErr w:type="spellStart"/>
      <w:r w:rsidR="00992EFD" w:rsidRPr="002F78A2">
        <w:rPr>
          <w:rFonts w:ascii="Times New Roman" w:hAnsi="Times New Roman" w:cs="Times New Roman"/>
          <w:sz w:val="24"/>
          <w:szCs w:val="24"/>
        </w:rPr>
        <w:t>pamatojoties</w:t>
      </w:r>
      <w:proofErr w:type="spellEnd"/>
      <w:r w:rsidR="00992EFD" w:rsidRPr="002F78A2">
        <w:rPr>
          <w:rFonts w:ascii="Times New Roman" w:hAnsi="Times New Roman" w:cs="Times New Roman"/>
          <w:sz w:val="24"/>
          <w:szCs w:val="24"/>
        </w:rPr>
        <w:t xml:space="preserve"> </w:t>
      </w:r>
      <w:proofErr w:type="spellStart"/>
      <w:r w:rsidR="00992EFD" w:rsidRPr="002F78A2">
        <w:rPr>
          <w:rFonts w:ascii="Times New Roman" w:hAnsi="Times New Roman" w:cs="Times New Roman"/>
          <w:sz w:val="24"/>
          <w:szCs w:val="24"/>
        </w:rPr>
        <w:t>uz</w:t>
      </w:r>
      <w:proofErr w:type="spellEnd"/>
      <w:r w:rsidR="00992EFD" w:rsidRPr="002F78A2">
        <w:rPr>
          <w:rFonts w:ascii="Times New Roman" w:hAnsi="Times New Roman" w:cs="Times New Roman"/>
          <w:sz w:val="24"/>
          <w:szCs w:val="24"/>
        </w:rPr>
        <w:t xml:space="preserve"> to </w:t>
      </w:r>
      <w:proofErr w:type="spellStart"/>
      <w:r w:rsidR="005A267A" w:rsidRPr="002F78A2">
        <w:rPr>
          <w:rFonts w:ascii="Times New Roman" w:hAnsi="Times New Roman" w:cs="Times New Roman"/>
          <w:sz w:val="24"/>
          <w:szCs w:val="24"/>
        </w:rPr>
        <w:t>saredzam</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gan</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riskus</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gan</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iespējas</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turpmākajam</w:t>
      </w:r>
      <w:proofErr w:type="spellEnd"/>
      <w:r w:rsidR="005A267A" w:rsidRPr="002F78A2">
        <w:rPr>
          <w:rFonts w:ascii="Times New Roman" w:hAnsi="Times New Roman" w:cs="Times New Roman"/>
          <w:sz w:val="24"/>
          <w:szCs w:val="24"/>
        </w:rPr>
        <w:t xml:space="preserve"> </w:t>
      </w:r>
      <w:proofErr w:type="spellStart"/>
      <w:r w:rsidR="005A267A" w:rsidRPr="002F78A2">
        <w:rPr>
          <w:rFonts w:ascii="Times New Roman" w:hAnsi="Times New Roman" w:cs="Times New Roman"/>
          <w:sz w:val="24"/>
          <w:szCs w:val="24"/>
        </w:rPr>
        <w:t>darbam</w:t>
      </w:r>
      <w:proofErr w:type="spellEnd"/>
      <w:r w:rsidR="005A267A" w:rsidRPr="002F78A2">
        <w:rPr>
          <w:rFonts w:ascii="Times New Roman" w:hAnsi="Times New Roman" w:cs="Times New Roman"/>
          <w:sz w:val="24"/>
          <w:szCs w:val="24"/>
        </w:rPr>
        <w:t>.</w:t>
      </w:r>
    </w:p>
    <w:p w:rsidR="00D85971" w:rsidRDefault="00D85971" w:rsidP="00494AC7">
      <w:pPr>
        <w:rPr>
          <w:i/>
        </w:rPr>
      </w:pPr>
    </w:p>
    <w:sectPr w:rsidR="00D859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5039"/>
    <w:multiLevelType w:val="hybridMultilevel"/>
    <w:tmpl w:val="77627B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624D60"/>
    <w:multiLevelType w:val="hybridMultilevel"/>
    <w:tmpl w:val="EFBCA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7F5ADC"/>
    <w:multiLevelType w:val="hybridMultilevel"/>
    <w:tmpl w:val="0A8610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0E19AD"/>
    <w:multiLevelType w:val="hybridMultilevel"/>
    <w:tmpl w:val="16E0F1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E41008"/>
    <w:multiLevelType w:val="hybridMultilevel"/>
    <w:tmpl w:val="8AD0AF1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C7"/>
    <w:rsid w:val="00050345"/>
    <w:rsid w:val="000820DB"/>
    <w:rsid w:val="00092967"/>
    <w:rsid w:val="00110FC8"/>
    <w:rsid w:val="001229F8"/>
    <w:rsid w:val="00130299"/>
    <w:rsid w:val="001458F4"/>
    <w:rsid w:val="00181796"/>
    <w:rsid w:val="00183A9E"/>
    <w:rsid w:val="0018579A"/>
    <w:rsid w:val="00201882"/>
    <w:rsid w:val="002201D0"/>
    <w:rsid w:val="002D78B0"/>
    <w:rsid w:val="002F78A2"/>
    <w:rsid w:val="00307553"/>
    <w:rsid w:val="0033142C"/>
    <w:rsid w:val="003363F2"/>
    <w:rsid w:val="00345D44"/>
    <w:rsid w:val="00362F13"/>
    <w:rsid w:val="00385BA0"/>
    <w:rsid w:val="003960D3"/>
    <w:rsid w:val="003A7701"/>
    <w:rsid w:val="00403CFC"/>
    <w:rsid w:val="00404913"/>
    <w:rsid w:val="004814AB"/>
    <w:rsid w:val="00494AC7"/>
    <w:rsid w:val="004A33BF"/>
    <w:rsid w:val="004B3C46"/>
    <w:rsid w:val="004B77B4"/>
    <w:rsid w:val="004C00F9"/>
    <w:rsid w:val="004D11C3"/>
    <w:rsid w:val="004D3BD5"/>
    <w:rsid w:val="004D3D7E"/>
    <w:rsid w:val="004E6F41"/>
    <w:rsid w:val="004F5B3A"/>
    <w:rsid w:val="00513DC8"/>
    <w:rsid w:val="005141A0"/>
    <w:rsid w:val="00514742"/>
    <w:rsid w:val="005552A0"/>
    <w:rsid w:val="005A267A"/>
    <w:rsid w:val="005D4AF3"/>
    <w:rsid w:val="005D77F3"/>
    <w:rsid w:val="005F6D01"/>
    <w:rsid w:val="006106C5"/>
    <w:rsid w:val="006138C2"/>
    <w:rsid w:val="00631914"/>
    <w:rsid w:val="006B7C63"/>
    <w:rsid w:val="006D252C"/>
    <w:rsid w:val="006F0D52"/>
    <w:rsid w:val="00705D41"/>
    <w:rsid w:val="007072C8"/>
    <w:rsid w:val="00717878"/>
    <w:rsid w:val="007205BB"/>
    <w:rsid w:val="00790A59"/>
    <w:rsid w:val="007920A8"/>
    <w:rsid w:val="007A3715"/>
    <w:rsid w:val="007C189E"/>
    <w:rsid w:val="00800397"/>
    <w:rsid w:val="00814F47"/>
    <w:rsid w:val="008253A4"/>
    <w:rsid w:val="00833057"/>
    <w:rsid w:val="00857F16"/>
    <w:rsid w:val="008601A4"/>
    <w:rsid w:val="00871259"/>
    <w:rsid w:val="00871DCC"/>
    <w:rsid w:val="008735AC"/>
    <w:rsid w:val="00883CE1"/>
    <w:rsid w:val="00884277"/>
    <w:rsid w:val="008D3E40"/>
    <w:rsid w:val="00900BB0"/>
    <w:rsid w:val="009027E1"/>
    <w:rsid w:val="00933564"/>
    <w:rsid w:val="00943220"/>
    <w:rsid w:val="00947CAE"/>
    <w:rsid w:val="00961940"/>
    <w:rsid w:val="00992EFD"/>
    <w:rsid w:val="009A0BDF"/>
    <w:rsid w:val="009A3B87"/>
    <w:rsid w:val="009A74CE"/>
    <w:rsid w:val="009C12E8"/>
    <w:rsid w:val="009E05B0"/>
    <w:rsid w:val="009F4F8A"/>
    <w:rsid w:val="00A21E32"/>
    <w:rsid w:val="00A5579B"/>
    <w:rsid w:val="00AD0019"/>
    <w:rsid w:val="00AD66BC"/>
    <w:rsid w:val="00AE1090"/>
    <w:rsid w:val="00AE39EE"/>
    <w:rsid w:val="00AE5AE7"/>
    <w:rsid w:val="00AE7F03"/>
    <w:rsid w:val="00AF00DC"/>
    <w:rsid w:val="00AF27E3"/>
    <w:rsid w:val="00AF6BE8"/>
    <w:rsid w:val="00B04447"/>
    <w:rsid w:val="00B13665"/>
    <w:rsid w:val="00B233DA"/>
    <w:rsid w:val="00B247A4"/>
    <w:rsid w:val="00B53597"/>
    <w:rsid w:val="00B54ACD"/>
    <w:rsid w:val="00BC2C62"/>
    <w:rsid w:val="00BF6978"/>
    <w:rsid w:val="00C17C1E"/>
    <w:rsid w:val="00C3219A"/>
    <w:rsid w:val="00C81A07"/>
    <w:rsid w:val="00C870C0"/>
    <w:rsid w:val="00C935AF"/>
    <w:rsid w:val="00CA09CF"/>
    <w:rsid w:val="00CB5A2B"/>
    <w:rsid w:val="00CC2659"/>
    <w:rsid w:val="00CC706D"/>
    <w:rsid w:val="00CE3814"/>
    <w:rsid w:val="00D253BD"/>
    <w:rsid w:val="00D52267"/>
    <w:rsid w:val="00D56BAC"/>
    <w:rsid w:val="00D81875"/>
    <w:rsid w:val="00D85971"/>
    <w:rsid w:val="00DA4134"/>
    <w:rsid w:val="00DD490A"/>
    <w:rsid w:val="00E049A1"/>
    <w:rsid w:val="00E266A8"/>
    <w:rsid w:val="00E70CE2"/>
    <w:rsid w:val="00E80705"/>
    <w:rsid w:val="00EA543B"/>
    <w:rsid w:val="00EC51B6"/>
    <w:rsid w:val="00EE31EC"/>
    <w:rsid w:val="00F47DE4"/>
    <w:rsid w:val="00F93F07"/>
    <w:rsid w:val="00FA79B4"/>
    <w:rsid w:val="00FB7CDC"/>
    <w:rsid w:val="00FE3E33"/>
    <w:rsid w:val="00FF67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DB3CF-80D8-4929-B59E-AFF56408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4AC7"/>
    <w:pPr>
      <w:spacing w:after="0" w:line="240" w:lineRule="auto"/>
    </w:pPr>
    <w:rPr>
      <w:rFonts w:ascii="Times New Roman" w:eastAsia="Times New Roman" w:hAnsi="Times New Roman" w:cs="Times New Roman"/>
      <w:sz w:val="24"/>
      <w:szCs w:val="24"/>
      <w:lang w:eastAsia="lv-LV"/>
    </w:rPr>
  </w:style>
  <w:style w:type="paragraph" w:styleId="Virsraksts5">
    <w:name w:val="heading 5"/>
    <w:basedOn w:val="Parasts"/>
    <w:next w:val="Parasts"/>
    <w:link w:val="Virsraksts5Rakstz"/>
    <w:qFormat/>
    <w:rsid w:val="00494AC7"/>
    <w:pPr>
      <w:spacing w:before="240" w:after="60"/>
      <w:outlineLvl w:val="4"/>
    </w:pPr>
    <w:rPr>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494AC7"/>
    <w:rPr>
      <w:rFonts w:ascii="Times New Roman" w:eastAsia="Times New Roman" w:hAnsi="Times New Roman" w:cs="Times New Roman"/>
      <w:b/>
      <w:bCs/>
      <w:i/>
      <w:iCs/>
      <w:sz w:val="26"/>
      <w:szCs w:val="26"/>
      <w:lang w:eastAsia="lv-LV"/>
    </w:rPr>
  </w:style>
  <w:style w:type="paragraph" w:styleId="Sarakstarindkopa">
    <w:name w:val="List Paragraph"/>
    <w:aliases w:val="Bulletpointi,2,Tabulu virsraksts,Strip,LP1.,H&amp;P List Paragraph,Colorful List - Accent 12,Normal bullet 2,Bullet list,Syle 1,Virsraksti,Saistīto dokumentu saraksts,PPS_Bullet,Numurets,1st level - Bullet List Paragraph"/>
    <w:basedOn w:val="Parasts"/>
    <w:link w:val="SarakstarindkopaRakstz"/>
    <w:uiPriority w:val="34"/>
    <w:qFormat/>
    <w:rsid w:val="005A267A"/>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SarakstarindkopaRakstz">
    <w:name w:val="Saraksta rindkopa Rakstz."/>
    <w:aliases w:val="Bulletpointi Rakstz.,2 Rakstz.,Tabulu virsraksts Rakstz.,Strip Rakstz.,LP1. Rakstz.,H&amp;P List Paragraph Rakstz.,Colorful List - Accent 12 Rakstz.,Normal bullet 2 Rakstz.,Bullet list Rakstz.,Syle 1 Rakstz.,Virsraksti Rakstz."/>
    <w:link w:val="Sarakstarindkopa"/>
    <w:uiPriority w:val="34"/>
    <w:qFormat/>
    <w:locked/>
    <w:rsid w:val="005A267A"/>
    <w:rPr>
      <w:lang w:val="en-US"/>
    </w:rPr>
  </w:style>
  <w:style w:type="character" w:customStyle="1" w:styleId="message-author--first-line">
    <w:name w:val="message-author--first-line"/>
    <w:basedOn w:val="Noklusjumarindkopasfonts"/>
    <w:rsid w:val="005141A0"/>
  </w:style>
  <w:style w:type="character" w:customStyle="1" w:styleId="callout-2">
    <w:name w:val="callout-2"/>
    <w:basedOn w:val="Noklusjumarindkopasfonts"/>
    <w:rsid w:val="005141A0"/>
  </w:style>
  <w:style w:type="character" w:customStyle="1" w:styleId="message-authortime">
    <w:name w:val="message-author__time"/>
    <w:basedOn w:val="Noklusjumarindkopasfonts"/>
    <w:rsid w:val="005141A0"/>
  </w:style>
  <w:style w:type="character" w:customStyle="1" w:styleId="caption-text">
    <w:name w:val="caption-text"/>
    <w:basedOn w:val="Noklusjumarindkopasfonts"/>
    <w:rsid w:val="005141A0"/>
  </w:style>
  <w:style w:type="table" w:styleId="Reatabula">
    <w:name w:val="Table Grid"/>
    <w:basedOn w:val="Parastatabula"/>
    <w:uiPriority w:val="39"/>
    <w:rsid w:val="005D4AF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EC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96160">
      <w:bodyDiv w:val="1"/>
      <w:marLeft w:val="0"/>
      <w:marRight w:val="0"/>
      <w:marTop w:val="0"/>
      <w:marBottom w:val="0"/>
      <w:divBdr>
        <w:top w:val="none" w:sz="0" w:space="0" w:color="auto"/>
        <w:left w:val="none" w:sz="0" w:space="0" w:color="auto"/>
        <w:bottom w:val="none" w:sz="0" w:space="0" w:color="auto"/>
        <w:right w:val="none" w:sz="0" w:space="0" w:color="auto"/>
      </w:divBdr>
      <w:divsChild>
        <w:div w:id="1280641893">
          <w:marLeft w:val="0"/>
          <w:marRight w:val="0"/>
          <w:marTop w:val="0"/>
          <w:marBottom w:val="0"/>
          <w:divBdr>
            <w:top w:val="none" w:sz="0" w:space="0" w:color="auto"/>
            <w:left w:val="none" w:sz="0" w:space="0" w:color="auto"/>
            <w:bottom w:val="none" w:sz="0" w:space="0" w:color="auto"/>
            <w:right w:val="none" w:sz="0" w:space="0" w:color="auto"/>
          </w:divBdr>
          <w:divsChild>
            <w:div w:id="51198478">
              <w:marLeft w:val="0"/>
              <w:marRight w:val="0"/>
              <w:marTop w:val="0"/>
              <w:marBottom w:val="0"/>
              <w:divBdr>
                <w:top w:val="none" w:sz="0" w:space="0" w:color="auto"/>
                <w:left w:val="none" w:sz="0" w:space="0" w:color="auto"/>
                <w:bottom w:val="none" w:sz="0" w:space="0" w:color="auto"/>
                <w:right w:val="none" w:sz="0" w:space="0" w:color="auto"/>
              </w:divBdr>
              <w:divsChild>
                <w:div w:id="291330494">
                  <w:marLeft w:val="0"/>
                  <w:marRight w:val="0"/>
                  <w:marTop w:val="0"/>
                  <w:marBottom w:val="0"/>
                  <w:divBdr>
                    <w:top w:val="none" w:sz="0" w:space="0" w:color="auto"/>
                    <w:left w:val="none" w:sz="0" w:space="0" w:color="auto"/>
                    <w:bottom w:val="none" w:sz="0" w:space="0" w:color="auto"/>
                    <w:right w:val="none" w:sz="0" w:space="0" w:color="auto"/>
                  </w:divBdr>
                  <w:divsChild>
                    <w:div w:id="1629894820">
                      <w:marLeft w:val="0"/>
                      <w:marRight w:val="0"/>
                      <w:marTop w:val="0"/>
                      <w:marBottom w:val="0"/>
                      <w:divBdr>
                        <w:top w:val="none" w:sz="0" w:space="0" w:color="auto"/>
                        <w:left w:val="none" w:sz="0" w:space="0" w:color="auto"/>
                        <w:bottom w:val="none" w:sz="0" w:space="0" w:color="auto"/>
                        <w:right w:val="none" w:sz="0" w:space="0" w:color="auto"/>
                      </w:divBdr>
                      <w:divsChild>
                        <w:div w:id="12700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Diagramma%20programm&#257;%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r>
              <a:rPr lang="lv-LV" cap="none"/>
              <a:t>Centralizētais eksāmens angļu valodā, 62 izglītojamie</a:t>
            </a:r>
          </a:p>
        </c:rich>
      </c:tx>
      <c:layout>
        <c:manualLayout>
          <c:xMode val="edge"/>
          <c:yMode val="edge"/>
          <c:x val="0.16538776843991135"/>
          <c:y val="3.8543897216274089E-2"/>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2022./2023.</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Lapa1!$A$2:$A$22</c:f>
              <c:strCache>
                <c:ptCount val="21"/>
                <c:pt idx="0">
                  <c:v>10%</c:v>
                </c:pt>
                <c:pt idx="1">
                  <c:v>11-15%</c:v>
                </c:pt>
                <c:pt idx="2">
                  <c:v>16-19%</c:v>
                </c:pt>
                <c:pt idx="3">
                  <c:v>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97%</c:v>
                </c:pt>
                <c:pt idx="19">
                  <c:v>B2</c:v>
                </c:pt>
                <c:pt idx="20">
                  <c:v>Vidēji procenti</c:v>
                </c:pt>
              </c:strCache>
            </c:strRef>
          </c:cat>
          <c:val>
            <c:numRef>
              <c:f>Lapa1!$B$2:$B$22</c:f>
              <c:numCache>
                <c:formatCode>General</c:formatCode>
                <c:ptCount val="21"/>
                <c:pt idx="0">
                  <c:v>0</c:v>
                </c:pt>
                <c:pt idx="1">
                  <c:v>0</c:v>
                </c:pt>
                <c:pt idx="2">
                  <c:v>1</c:v>
                </c:pt>
                <c:pt idx="4">
                  <c:v>2</c:v>
                </c:pt>
                <c:pt idx="5">
                  <c:v>2</c:v>
                </c:pt>
                <c:pt idx="6">
                  <c:v>4</c:v>
                </c:pt>
                <c:pt idx="7">
                  <c:v>2</c:v>
                </c:pt>
                <c:pt idx="8">
                  <c:v>5</c:v>
                </c:pt>
                <c:pt idx="9">
                  <c:v>4</c:v>
                </c:pt>
                <c:pt idx="10">
                  <c:v>7</c:v>
                </c:pt>
                <c:pt idx="11">
                  <c:v>6</c:v>
                </c:pt>
                <c:pt idx="12">
                  <c:v>3</c:v>
                </c:pt>
                <c:pt idx="13">
                  <c:v>7</c:v>
                </c:pt>
                <c:pt idx="14">
                  <c:v>4</c:v>
                </c:pt>
                <c:pt idx="15">
                  <c:v>3</c:v>
                </c:pt>
                <c:pt idx="16">
                  <c:v>1</c:v>
                </c:pt>
                <c:pt idx="17">
                  <c:v>2</c:v>
                </c:pt>
                <c:pt idx="18">
                  <c:v>1</c:v>
                </c:pt>
                <c:pt idx="19">
                  <c:v>19</c:v>
                </c:pt>
                <c:pt idx="20">
                  <c:v>55.59</c:v>
                </c:pt>
              </c:numCache>
            </c:numRef>
          </c:val>
        </c:ser>
        <c:ser>
          <c:idx val="1"/>
          <c:order val="1"/>
          <c:tx>
            <c:strRef>
              <c:f>Lapa1!$C$1</c:f>
              <c:strCache>
                <c:ptCount val="1"/>
                <c:pt idx="0">
                  <c:v>2023./2024.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Lapa1!$A$2:$A$22</c:f>
              <c:strCache>
                <c:ptCount val="21"/>
                <c:pt idx="0">
                  <c:v>10%</c:v>
                </c:pt>
                <c:pt idx="1">
                  <c:v>11-15%</c:v>
                </c:pt>
                <c:pt idx="2">
                  <c:v>16-19%</c:v>
                </c:pt>
                <c:pt idx="3">
                  <c:v>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97%</c:v>
                </c:pt>
                <c:pt idx="19">
                  <c:v>B2</c:v>
                </c:pt>
                <c:pt idx="20">
                  <c:v>Vidēji procenti</c:v>
                </c:pt>
              </c:strCache>
            </c:strRef>
          </c:cat>
          <c:val>
            <c:numRef>
              <c:f>Lapa1!$C$2:$C$22</c:f>
              <c:numCache>
                <c:formatCode>General</c:formatCode>
                <c:ptCount val="21"/>
                <c:pt idx="1">
                  <c:v>1</c:v>
                </c:pt>
                <c:pt idx="2">
                  <c:v>2</c:v>
                </c:pt>
                <c:pt idx="4">
                  <c:v>1</c:v>
                </c:pt>
                <c:pt idx="5">
                  <c:v>1</c:v>
                </c:pt>
                <c:pt idx="6">
                  <c:v>1</c:v>
                </c:pt>
                <c:pt idx="7">
                  <c:v>4</c:v>
                </c:pt>
                <c:pt idx="8">
                  <c:v>4</c:v>
                </c:pt>
                <c:pt idx="9">
                  <c:v>2</c:v>
                </c:pt>
                <c:pt idx="10">
                  <c:v>2</c:v>
                </c:pt>
                <c:pt idx="11">
                  <c:v>6</c:v>
                </c:pt>
                <c:pt idx="12">
                  <c:v>6</c:v>
                </c:pt>
                <c:pt idx="13">
                  <c:v>5</c:v>
                </c:pt>
                <c:pt idx="14">
                  <c:v>4</c:v>
                </c:pt>
                <c:pt idx="15">
                  <c:v>2</c:v>
                </c:pt>
                <c:pt idx="16">
                  <c:v>2</c:v>
                </c:pt>
                <c:pt idx="19">
                  <c:v>14</c:v>
                </c:pt>
                <c:pt idx="20">
                  <c:v>53.72</c:v>
                </c:pt>
              </c:numCache>
            </c:numRef>
          </c:val>
        </c:ser>
        <c:ser>
          <c:idx val="2"/>
          <c:order val="2"/>
          <c:tx>
            <c:strRef>
              <c:f>Lapa1!$D$1</c:f>
              <c:strCache>
                <c:ptCount val="1"/>
                <c:pt idx="0">
                  <c:v>2024./2025.</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Lapa1!$A$2:$A$22</c:f>
              <c:strCache>
                <c:ptCount val="21"/>
                <c:pt idx="0">
                  <c:v>10%</c:v>
                </c:pt>
                <c:pt idx="1">
                  <c:v>11-15%</c:v>
                </c:pt>
                <c:pt idx="2">
                  <c:v>16-19%</c:v>
                </c:pt>
                <c:pt idx="3">
                  <c:v>20%</c:v>
                </c:pt>
                <c:pt idx="4">
                  <c:v>21-25%</c:v>
                </c:pt>
                <c:pt idx="5">
                  <c:v>26-30%</c:v>
                </c:pt>
                <c:pt idx="6">
                  <c:v>31-35%</c:v>
                </c:pt>
                <c:pt idx="7">
                  <c:v>36-40%</c:v>
                </c:pt>
                <c:pt idx="8">
                  <c:v>41-45%</c:v>
                </c:pt>
                <c:pt idx="9">
                  <c:v>46-50%</c:v>
                </c:pt>
                <c:pt idx="10">
                  <c:v>51-55%</c:v>
                </c:pt>
                <c:pt idx="11">
                  <c:v>56-60%</c:v>
                </c:pt>
                <c:pt idx="12">
                  <c:v>61-65%</c:v>
                </c:pt>
                <c:pt idx="13">
                  <c:v>66-70%</c:v>
                </c:pt>
                <c:pt idx="14">
                  <c:v>71-75%</c:v>
                </c:pt>
                <c:pt idx="15">
                  <c:v>76-80%</c:v>
                </c:pt>
                <c:pt idx="16">
                  <c:v>81-85%</c:v>
                </c:pt>
                <c:pt idx="17">
                  <c:v>86-90%</c:v>
                </c:pt>
                <c:pt idx="18">
                  <c:v>97%</c:v>
                </c:pt>
                <c:pt idx="19">
                  <c:v>B2</c:v>
                </c:pt>
                <c:pt idx="20">
                  <c:v>Vidēji procenti</c:v>
                </c:pt>
              </c:strCache>
            </c:strRef>
          </c:cat>
          <c:val>
            <c:numRef>
              <c:f>Lapa1!$D$2:$D$22</c:f>
              <c:numCache>
                <c:formatCode>General</c:formatCode>
                <c:ptCount val="21"/>
                <c:pt idx="0">
                  <c:v>3</c:v>
                </c:pt>
                <c:pt idx="1">
                  <c:v>1</c:v>
                </c:pt>
                <c:pt idx="4">
                  <c:v>3</c:v>
                </c:pt>
                <c:pt idx="5">
                  <c:v>3</c:v>
                </c:pt>
                <c:pt idx="6">
                  <c:v>2</c:v>
                </c:pt>
                <c:pt idx="7">
                  <c:v>7</c:v>
                </c:pt>
                <c:pt idx="8">
                  <c:v>4</c:v>
                </c:pt>
                <c:pt idx="9">
                  <c:v>3</c:v>
                </c:pt>
                <c:pt idx="10">
                  <c:v>6</c:v>
                </c:pt>
                <c:pt idx="11">
                  <c:v>3</c:v>
                </c:pt>
                <c:pt idx="12">
                  <c:v>6</c:v>
                </c:pt>
                <c:pt idx="13">
                  <c:v>9</c:v>
                </c:pt>
                <c:pt idx="14">
                  <c:v>5</c:v>
                </c:pt>
                <c:pt idx="15">
                  <c:v>4</c:v>
                </c:pt>
                <c:pt idx="16">
                  <c:v>3</c:v>
                </c:pt>
                <c:pt idx="20">
                  <c:v>52.5</c:v>
                </c:pt>
              </c:numCache>
            </c:numRef>
          </c:val>
        </c:ser>
        <c:dLbls>
          <c:dLblPos val="outEnd"/>
          <c:showLegendKey val="0"/>
          <c:showVal val="1"/>
          <c:showCatName val="0"/>
          <c:showSerName val="0"/>
          <c:showPercent val="0"/>
          <c:showBubbleSize val="0"/>
        </c:dLbls>
        <c:gapWidth val="444"/>
        <c:overlap val="-90"/>
        <c:axId val="305420304"/>
        <c:axId val="305741728"/>
      </c:barChart>
      <c:catAx>
        <c:axId val="305420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305741728"/>
        <c:crosses val="autoZero"/>
        <c:auto val="1"/>
        <c:lblAlgn val="ctr"/>
        <c:lblOffset val="100"/>
        <c:noMultiLvlLbl val="0"/>
      </c:catAx>
      <c:valAx>
        <c:axId val="305741728"/>
        <c:scaling>
          <c:orientation val="minMax"/>
        </c:scaling>
        <c:delete val="1"/>
        <c:axPos val="l"/>
        <c:numFmt formatCode="General" sourceLinked="1"/>
        <c:majorTickMark val="none"/>
        <c:minorTickMark val="none"/>
        <c:tickLblPos val="nextTo"/>
        <c:crossAx val="3054203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Centralizētais eksāmens latviešu valodā, 61 izglītojamie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1"/>
          <c:order val="0"/>
          <c:tx>
            <c:strRef>
              <c:f>Lapa1!$B$1</c:f>
              <c:strCache>
                <c:ptCount val="1"/>
                <c:pt idx="0">
                  <c:v>2022./2023.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Lapa1!$A$2:$A$19</c:f>
              <c:strCache>
                <c:ptCount val="18"/>
                <c:pt idx="0">
                  <c:v>10%</c:v>
                </c:pt>
                <c:pt idx="1">
                  <c:v>11-15%</c:v>
                </c:pt>
                <c:pt idx="2">
                  <c:v>16-19%</c:v>
                </c:pt>
                <c:pt idx="3">
                  <c:v>20%</c:v>
                </c:pt>
                <c:pt idx="4">
                  <c:v>21-25%</c:v>
                </c:pt>
                <c:pt idx="5">
                  <c:v>26-30%</c:v>
                </c:pt>
                <c:pt idx="6">
                  <c:v>31-35%</c:v>
                </c:pt>
                <c:pt idx="7">
                  <c:v>36-4%</c:v>
                </c:pt>
                <c:pt idx="8">
                  <c:v>41-45%</c:v>
                </c:pt>
                <c:pt idx="9">
                  <c:v>46-50%</c:v>
                </c:pt>
                <c:pt idx="10">
                  <c:v>51-55%</c:v>
                </c:pt>
                <c:pt idx="11">
                  <c:v>56-60%</c:v>
                </c:pt>
                <c:pt idx="12">
                  <c:v>64%</c:v>
                </c:pt>
                <c:pt idx="13">
                  <c:v>71%</c:v>
                </c:pt>
                <c:pt idx="14">
                  <c:v>72%</c:v>
                </c:pt>
                <c:pt idx="15">
                  <c:v>75%</c:v>
                </c:pt>
                <c:pt idx="17">
                  <c:v>vid.%</c:v>
                </c:pt>
              </c:strCache>
            </c:strRef>
          </c:cat>
          <c:val>
            <c:numRef>
              <c:f>Lapa1!$B$2:$B$19</c:f>
              <c:numCache>
                <c:formatCode>General</c:formatCode>
                <c:ptCount val="18"/>
                <c:pt idx="5">
                  <c:v>3</c:v>
                </c:pt>
                <c:pt idx="6">
                  <c:v>5</c:v>
                </c:pt>
                <c:pt idx="7">
                  <c:v>6</c:v>
                </c:pt>
                <c:pt idx="8">
                  <c:v>11</c:v>
                </c:pt>
                <c:pt idx="9">
                  <c:v>11</c:v>
                </c:pt>
                <c:pt idx="10">
                  <c:v>10</c:v>
                </c:pt>
                <c:pt idx="11">
                  <c:v>3</c:v>
                </c:pt>
                <c:pt idx="12">
                  <c:v>1</c:v>
                </c:pt>
                <c:pt idx="13">
                  <c:v>1</c:v>
                </c:pt>
                <c:pt idx="15">
                  <c:v>1</c:v>
                </c:pt>
                <c:pt idx="17">
                  <c:v>46.42</c:v>
                </c:pt>
              </c:numCache>
            </c:numRef>
          </c:val>
        </c:ser>
        <c:ser>
          <c:idx val="0"/>
          <c:order val="1"/>
          <c:tx>
            <c:strRef>
              <c:f>Lapa1!$C$1</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Lapa1!$A$2:$A$19</c:f>
              <c:strCache>
                <c:ptCount val="18"/>
                <c:pt idx="0">
                  <c:v>10%</c:v>
                </c:pt>
                <c:pt idx="1">
                  <c:v>11-15%</c:v>
                </c:pt>
                <c:pt idx="2">
                  <c:v>16-19%</c:v>
                </c:pt>
                <c:pt idx="3">
                  <c:v>20%</c:v>
                </c:pt>
                <c:pt idx="4">
                  <c:v>21-25%</c:v>
                </c:pt>
                <c:pt idx="5">
                  <c:v>26-30%</c:v>
                </c:pt>
                <c:pt idx="6">
                  <c:v>31-35%</c:v>
                </c:pt>
                <c:pt idx="7">
                  <c:v>36-4%</c:v>
                </c:pt>
                <c:pt idx="8">
                  <c:v>41-45%</c:v>
                </c:pt>
                <c:pt idx="9">
                  <c:v>46-50%</c:v>
                </c:pt>
                <c:pt idx="10">
                  <c:v>51-55%</c:v>
                </c:pt>
                <c:pt idx="11">
                  <c:v>56-60%</c:v>
                </c:pt>
                <c:pt idx="12">
                  <c:v>64%</c:v>
                </c:pt>
                <c:pt idx="13">
                  <c:v>71%</c:v>
                </c:pt>
                <c:pt idx="14">
                  <c:v>72%</c:v>
                </c:pt>
                <c:pt idx="15">
                  <c:v>75%</c:v>
                </c:pt>
                <c:pt idx="17">
                  <c:v>vid.%</c:v>
                </c:pt>
              </c:strCache>
            </c:strRef>
          </c:cat>
          <c:val>
            <c:numRef>
              <c:f>Lapa1!$C$2:$C$19</c:f>
              <c:numCache>
                <c:formatCode>General</c:formatCode>
                <c:ptCount val="18"/>
                <c:pt idx="1">
                  <c:v>1</c:v>
                </c:pt>
                <c:pt idx="2">
                  <c:v>1</c:v>
                </c:pt>
                <c:pt idx="7">
                  <c:v>4</c:v>
                </c:pt>
                <c:pt idx="8">
                  <c:v>6</c:v>
                </c:pt>
                <c:pt idx="9">
                  <c:v>9</c:v>
                </c:pt>
                <c:pt idx="10">
                  <c:v>8</c:v>
                </c:pt>
                <c:pt idx="11">
                  <c:v>4</c:v>
                </c:pt>
                <c:pt idx="12">
                  <c:v>4</c:v>
                </c:pt>
                <c:pt idx="13">
                  <c:v>2</c:v>
                </c:pt>
                <c:pt idx="15">
                  <c:v>1</c:v>
                </c:pt>
                <c:pt idx="17">
                  <c:v>52.16</c:v>
                </c:pt>
              </c:numCache>
            </c:numRef>
          </c:val>
        </c:ser>
        <c:ser>
          <c:idx val="2"/>
          <c:order val="2"/>
          <c:tx>
            <c:strRef>
              <c:f>Lapa1!$D$1</c:f>
              <c:strCache>
                <c:ptCount val="1"/>
                <c:pt idx="0">
                  <c:v>2024./2025.</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Lapa1!$A$2:$A$19</c:f>
              <c:strCache>
                <c:ptCount val="18"/>
                <c:pt idx="0">
                  <c:v>10%</c:v>
                </c:pt>
                <c:pt idx="1">
                  <c:v>11-15%</c:v>
                </c:pt>
                <c:pt idx="2">
                  <c:v>16-19%</c:v>
                </c:pt>
                <c:pt idx="3">
                  <c:v>20%</c:v>
                </c:pt>
                <c:pt idx="4">
                  <c:v>21-25%</c:v>
                </c:pt>
                <c:pt idx="5">
                  <c:v>26-30%</c:v>
                </c:pt>
                <c:pt idx="6">
                  <c:v>31-35%</c:v>
                </c:pt>
                <c:pt idx="7">
                  <c:v>36-4%</c:v>
                </c:pt>
                <c:pt idx="8">
                  <c:v>41-45%</c:v>
                </c:pt>
                <c:pt idx="9">
                  <c:v>46-50%</c:v>
                </c:pt>
                <c:pt idx="10">
                  <c:v>51-55%</c:v>
                </c:pt>
                <c:pt idx="11">
                  <c:v>56-60%</c:v>
                </c:pt>
                <c:pt idx="12">
                  <c:v>64%</c:v>
                </c:pt>
                <c:pt idx="13">
                  <c:v>71%</c:v>
                </c:pt>
                <c:pt idx="14">
                  <c:v>72%</c:v>
                </c:pt>
                <c:pt idx="15">
                  <c:v>75%</c:v>
                </c:pt>
                <c:pt idx="17">
                  <c:v>vid.%</c:v>
                </c:pt>
              </c:strCache>
            </c:strRef>
          </c:cat>
          <c:val>
            <c:numRef>
              <c:f>Lapa1!$D$2:$D$19</c:f>
              <c:numCache>
                <c:formatCode>General</c:formatCode>
                <c:ptCount val="18"/>
                <c:pt idx="1">
                  <c:v>2</c:v>
                </c:pt>
                <c:pt idx="5">
                  <c:v>3</c:v>
                </c:pt>
                <c:pt idx="6">
                  <c:v>3</c:v>
                </c:pt>
                <c:pt idx="7">
                  <c:v>6</c:v>
                </c:pt>
                <c:pt idx="8">
                  <c:v>7</c:v>
                </c:pt>
                <c:pt idx="9">
                  <c:v>13</c:v>
                </c:pt>
                <c:pt idx="10">
                  <c:v>7</c:v>
                </c:pt>
                <c:pt idx="11">
                  <c:v>6</c:v>
                </c:pt>
                <c:pt idx="12">
                  <c:v>10</c:v>
                </c:pt>
                <c:pt idx="13">
                  <c:v>1</c:v>
                </c:pt>
                <c:pt idx="14">
                  <c:v>2</c:v>
                </c:pt>
                <c:pt idx="17">
                  <c:v>48.6</c:v>
                </c:pt>
              </c:numCache>
            </c:numRef>
          </c:val>
        </c:ser>
        <c:dLbls>
          <c:dLblPos val="outEnd"/>
          <c:showLegendKey val="0"/>
          <c:showVal val="1"/>
          <c:showCatName val="0"/>
          <c:showSerName val="0"/>
          <c:showPercent val="0"/>
          <c:showBubbleSize val="0"/>
        </c:dLbls>
        <c:gapWidth val="219"/>
        <c:overlap val="-27"/>
        <c:axId val="305356152"/>
        <c:axId val="305542208"/>
      </c:barChart>
      <c:catAx>
        <c:axId val="305356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5542208"/>
        <c:crosses val="autoZero"/>
        <c:auto val="1"/>
        <c:lblAlgn val="ctr"/>
        <c:lblOffset val="100"/>
        <c:noMultiLvlLbl val="0"/>
      </c:catAx>
      <c:valAx>
        <c:axId val="30554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5356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solidFill>
                  <a:schemeClr val="tx1">
                    <a:lumMod val="65000"/>
                    <a:lumOff val="35000"/>
                  </a:schemeClr>
                </a:solidFill>
                <a:latin typeface="+mn-lt"/>
                <a:ea typeface="+mn-ea"/>
                <a:cs typeface="+mn-cs"/>
              </a:defRPr>
            </a:pPr>
            <a:r>
              <a:rPr lang="lv-LV" sz="1800" b="1" i="0" cap="none" baseline="0">
                <a:effectLst/>
              </a:rPr>
              <a:t>VISC centralizētais eksāmens matemātikā optimālajā līmenī, 72 izglītojamie</a:t>
            </a:r>
            <a:endParaRPr lang="en-US" cap="none">
              <a:effectLst/>
            </a:endParaRPr>
          </a:p>
        </c:rich>
      </c:tx>
      <c:layout/>
      <c:overlay val="0"/>
      <c:spPr>
        <a:noFill/>
        <a:ln>
          <a:noFill/>
        </a:ln>
        <a:effectLst/>
      </c:spPr>
      <c:txPr>
        <a:bodyPr rot="0" spcFirstLastPara="1" vertOverflow="ellipsis" vert="horz" wrap="square" anchor="ctr" anchorCtr="1"/>
        <a:lstStyle/>
        <a:p>
          <a:pPr>
            <a:defRPr sz="1400" b="0" i="0" u="none" strike="noStrike" kern="1200" cap="none"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'[Diagramma programmā Microsoft Word]Lapa1'!$B$1</c:f>
              <c:strCache>
                <c:ptCount val="1"/>
                <c:pt idx="0">
                  <c:v>2022./2023.m.g.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Word]Lapa1'!$A$2:$A$14</c:f>
              <c:strCache>
                <c:ptCount val="13"/>
                <c:pt idx="0">
                  <c:v>nav rezultāta</c:v>
                </c:pt>
                <c:pt idx="1">
                  <c:v>1-10%</c:v>
                </c:pt>
                <c:pt idx="2">
                  <c:v>11-15%</c:v>
                </c:pt>
                <c:pt idx="3">
                  <c:v>15%</c:v>
                </c:pt>
                <c:pt idx="4">
                  <c:v>16-19%</c:v>
                </c:pt>
                <c:pt idx="5">
                  <c:v>20%</c:v>
                </c:pt>
                <c:pt idx="6">
                  <c:v>21-25%</c:v>
                </c:pt>
                <c:pt idx="7">
                  <c:v>26-30%</c:v>
                </c:pt>
                <c:pt idx="8">
                  <c:v>31-35%</c:v>
                </c:pt>
                <c:pt idx="9">
                  <c:v>36-40%</c:v>
                </c:pt>
                <c:pt idx="10">
                  <c:v>41%</c:v>
                </c:pt>
                <c:pt idx="11">
                  <c:v>46%</c:v>
                </c:pt>
                <c:pt idx="12">
                  <c:v>Vidēji procenti</c:v>
                </c:pt>
              </c:strCache>
            </c:strRef>
          </c:cat>
          <c:val>
            <c:numRef>
              <c:f>'[Diagramma programmā Microsoft Word]Lapa1'!$B$2:$B$14</c:f>
              <c:numCache>
                <c:formatCode>General</c:formatCode>
                <c:ptCount val="13"/>
                <c:pt idx="0">
                  <c:v>19</c:v>
                </c:pt>
                <c:pt idx="1">
                  <c:v>2</c:v>
                </c:pt>
                <c:pt idx="2">
                  <c:v>16</c:v>
                </c:pt>
                <c:pt idx="4">
                  <c:v>9</c:v>
                </c:pt>
                <c:pt idx="6">
                  <c:v>2</c:v>
                </c:pt>
                <c:pt idx="8">
                  <c:v>1</c:v>
                </c:pt>
                <c:pt idx="10">
                  <c:v>1</c:v>
                </c:pt>
                <c:pt idx="12">
                  <c:v>16.16</c:v>
                </c:pt>
              </c:numCache>
            </c:numRef>
          </c:val>
        </c:ser>
        <c:ser>
          <c:idx val="1"/>
          <c:order val="1"/>
          <c:tx>
            <c:strRef>
              <c:f>'[Diagramma programmā Microsoft Word]Lapa1'!$C$1</c:f>
              <c:strCache>
                <c:ptCount val="1"/>
                <c:pt idx="0">
                  <c:v>2023./2024.m.g.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Word]Lapa1'!$A$2:$A$14</c:f>
              <c:strCache>
                <c:ptCount val="13"/>
                <c:pt idx="0">
                  <c:v>nav rezultāta</c:v>
                </c:pt>
                <c:pt idx="1">
                  <c:v>1-10%</c:v>
                </c:pt>
                <c:pt idx="2">
                  <c:v>11-15%</c:v>
                </c:pt>
                <c:pt idx="3">
                  <c:v>15%</c:v>
                </c:pt>
                <c:pt idx="4">
                  <c:v>16-19%</c:v>
                </c:pt>
                <c:pt idx="5">
                  <c:v>20%</c:v>
                </c:pt>
                <c:pt idx="6">
                  <c:v>21-25%</c:v>
                </c:pt>
                <c:pt idx="7">
                  <c:v>26-30%</c:v>
                </c:pt>
                <c:pt idx="8">
                  <c:v>31-35%</c:v>
                </c:pt>
                <c:pt idx="9">
                  <c:v>36-40%</c:v>
                </c:pt>
                <c:pt idx="10">
                  <c:v>41%</c:v>
                </c:pt>
                <c:pt idx="11">
                  <c:v>46%</c:v>
                </c:pt>
                <c:pt idx="12">
                  <c:v>Vidēji procenti</c:v>
                </c:pt>
              </c:strCache>
            </c:strRef>
          </c:cat>
          <c:val>
            <c:numRef>
              <c:f>'[Diagramma programmā Microsoft Word]Lapa1'!$C$2:$C$14</c:f>
              <c:numCache>
                <c:formatCode>General</c:formatCode>
                <c:ptCount val="13"/>
                <c:pt idx="0">
                  <c:v>27</c:v>
                </c:pt>
                <c:pt idx="1">
                  <c:v>0</c:v>
                </c:pt>
                <c:pt idx="2">
                  <c:v>0</c:v>
                </c:pt>
                <c:pt idx="3">
                  <c:v>2</c:v>
                </c:pt>
                <c:pt idx="4">
                  <c:v>7</c:v>
                </c:pt>
                <c:pt idx="6">
                  <c:v>5</c:v>
                </c:pt>
                <c:pt idx="7">
                  <c:v>2</c:v>
                </c:pt>
                <c:pt idx="8">
                  <c:v>1</c:v>
                </c:pt>
                <c:pt idx="9">
                  <c:v>1</c:v>
                </c:pt>
                <c:pt idx="12">
                  <c:v>14.2</c:v>
                </c:pt>
              </c:numCache>
            </c:numRef>
          </c:val>
        </c:ser>
        <c:ser>
          <c:idx val="2"/>
          <c:order val="2"/>
          <c:tx>
            <c:strRef>
              <c:f>'[Diagramma programmā Microsoft Word]Lapa1'!$D$1</c:f>
              <c:strCache>
                <c:ptCount val="1"/>
                <c:pt idx="0">
                  <c:v>2024./2025.m.g.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'[Diagramma programmā Microsoft Word]Lapa1'!$A$2:$A$14</c:f>
              <c:strCache>
                <c:ptCount val="13"/>
                <c:pt idx="0">
                  <c:v>nav rezultāta</c:v>
                </c:pt>
                <c:pt idx="1">
                  <c:v>1-10%</c:v>
                </c:pt>
                <c:pt idx="2">
                  <c:v>11-15%</c:v>
                </c:pt>
                <c:pt idx="3">
                  <c:v>15%</c:v>
                </c:pt>
                <c:pt idx="4">
                  <c:v>16-19%</c:v>
                </c:pt>
                <c:pt idx="5">
                  <c:v>20%</c:v>
                </c:pt>
                <c:pt idx="6">
                  <c:v>21-25%</c:v>
                </c:pt>
                <c:pt idx="7">
                  <c:v>26-30%</c:v>
                </c:pt>
                <c:pt idx="8">
                  <c:v>31-35%</c:v>
                </c:pt>
                <c:pt idx="9">
                  <c:v>36-40%</c:v>
                </c:pt>
                <c:pt idx="10">
                  <c:v>41%</c:v>
                </c:pt>
                <c:pt idx="11">
                  <c:v>46%</c:v>
                </c:pt>
                <c:pt idx="12">
                  <c:v>Vidēji procenti</c:v>
                </c:pt>
              </c:strCache>
            </c:strRef>
          </c:cat>
          <c:val>
            <c:numRef>
              <c:f>'[Diagramma programmā Microsoft Word]Lapa1'!$D$2:$D$14</c:f>
              <c:numCache>
                <c:formatCode>General</c:formatCode>
                <c:ptCount val="13"/>
                <c:pt idx="1">
                  <c:v>36</c:v>
                </c:pt>
                <c:pt idx="2">
                  <c:v>8</c:v>
                </c:pt>
                <c:pt idx="4">
                  <c:v>2</c:v>
                </c:pt>
                <c:pt idx="5">
                  <c:v>4</c:v>
                </c:pt>
                <c:pt idx="6">
                  <c:v>7</c:v>
                </c:pt>
                <c:pt idx="7">
                  <c:v>4</c:v>
                </c:pt>
                <c:pt idx="8">
                  <c:v>4</c:v>
                </c:pt>
                <c:pt idx="9">
                  <c:v>3</c:v>
                </c:pt>
                <c:pt idx="10">
                  <c:v>2</c:v>
                </c:pt>
                <c:pt idx="11">
                  <c:v>1</c:v>
                </c:pt>
                <c:pt idx="12">
                  <c:v>14.8</c:v>
                </c:pt>
              </c:numCache>
            </c:numRef>
          </c:val>
        </c:ser>
        <c:dLbls>
          <c:showLegendKey val="0"/>
          <c:showVal val="0"/>
          <c:showCatName val="0"/>
          <c:showSerName val="0"/>
          <c:showPercent val="0"/>
          <c:showBubbleSize val="0"/>
        </c:dLbls>
        <c:gapWidth val="219"/>
        <c:overlap val="-27"/>
        <c:axId val="305713768"/>
        <c:axId val="305669416"/>
        <c:extLst>
          <c:ext xmlns:c15="http://schemas.microsoft.com/office/drawing/2012/chart" uri="{02D57815-91ED-43cb-92C2-25804820EDAC}">
            <c15:filteredBarSeries>
              <c15:ser>
                <c:idx val="3"/>
                <c:order val="3"/>
                <c:tx>
                  <c:strRef>
                    <c:extLst>
                      <c:ext uri="{02D57815-91ED-43cb-92C2-25804820EDAC}">
                        <c15:formulaRef>
                          <c15:sqref>'[Diagramma programmā Microsoft Word]Lapa1'!$E$1</c15:sqref>
                        </c15:formulaRef>
                      </c:ext>
                    </c:extLst>
                    <c:strCache>
                      <c:ptCount val="1"/>
                      <c:pt idx="0">
                        <c:v>Kolonna1</c:v>
                      </c:pt>
                    </c:strCache>
                  </c:strRef>
                </c:tx>
                <c:spPr>
                  <a:solidFill>
                    <a:schemeClr val="accent4"/>
                  </a:solidFill>
                  <a:ln>
                    <a:noFill/>
                  </a:ln>
                  <a:effectLst/>
                </c:spPr>
                <c:invertIfNegative val="0"/>
                <c:cat>
                  <c:strRef>
                    <c:extLst>
                      <c:ext uri="{02D57815-91ED-43cb-92C2-25804820EDAC}">
                        <c15:formulaRef>
                          <c15:sqref>'[Diagramma programmā Microsoft Word]Lapa1'!$A$2:$A$14</c15:sqref>
                        </c15:formulaRef>
                      </c:ext>
                    </c:extLst>
                    <c:strCache>
                      <c:ptCount val="13"/>
                      <c:pt idx="0">
                        <c:v>nav rezultāta</c:v>
                      </c:pt>
                      <c:pt idx="1">
                        <c:v>1-10%</c:v>
                      </c:pt>
                      <c:pt idx="2">
                        <c:v>11-15%</c:v>
                      </c:pt>
                      <c:pt idx="3">
                        <c:v>15%</c:v>
                      </c:pt>
                      <c:pt idx="4">
                        <c:v>16-19%</c:v>
                      </c:pt>
                      <c:pt idx="5">
                        <c:v>20%</c:v>
                      </c:pt>
                      <c:pt idx="6">
                        <c:v>21-25%</c:v>
                      </c:pt>
                      <c:pt idx="7">
                        <c:v>26-30%</c:v>
                      </c:pt>
                      <c:pt idx="8">
                        <c:v>31-35%</c:v>
                      </c:pt>
                      <c:pt idx="9">
                        <c:v>36-40%</c:v>
                      </c:pt>
                      <c:pt idx="10">
                        <c:v>41%</c:v>
                      </c:pt>
                      <c:pt idx="11">
                        <c:v>46%</c:v>
                      </c:pt>
                      <c:pt idx="12">
                        <c:v>Vidēji procenti</c:v>
                      </c:pt>
                    </c:strCache>
                  </c:strRef>
                </c:cat>
                <c:val>
                  <c:numRef>
                    <c:extLst>
                      <c:ext uri="{02D57815-91ED-43cb-92C2-25804820EDAC}">
                        <c15:formulaRef>
                          <c15:sqref>'[Diagramma programmā Microsoft Word]Lapa1'!$E$2:$E$14</c15:sqref>
                        </c15:formulaRef>
                      </c:ext>
                    </c:extLst>
                    <c:numCache>
                      <c:formatCode>General</c:formatCode>
                      <c:ptCount val="13"/>
                    </c:numCache>
                  </c:numRef>
                </c:val>
              </c15:ser>
            </c15:filteredBarSeries>
          </c:ext>
        </c:extLst>
      </c:barChart>
      <c:catAx>
        <c:axId val="30571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5669416"/>
        <c:crosses val="autoZero"/>
        <c:auto val="1"/>
        <c:lblAlgn val="ctr"/>
        <c:lblOffset val="100"/>
        <c:noMultiLvlLbl val="0"/>
      </c:catAx>
      <c:valAx>
        <c:axId val="305669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5713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Valstī 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Matemātika OL</c:v>
                </c:pt>
                <c:pt idx="1">
                  <c:v>Latviešu val.OL</c:v>
                </c:pt>
                <c:pt idx="2">
                  <c:v>Angļu val. OL</c:v>
                </c:pt>
              </c:strCache>
            </c:strRef>
          </c:cat>
          <c:val>
            <c:numRef>
              <c:f>Lapa1!$B$2:$B$4</c:f>
              <c:numCache>
                <c:formatCode>General</c:formatCode>
                <c:ptCount val="3"/>
                <c:pt idx="0">
                  <c:v>35.1</c:v>
                </c:pt>
                <c:pt idx="1">
                  <c:v>53.8</c:v>
                </c:pt>
                <c:pt idx="2">
                  <c:v>63</c:v>
                </c:pt>
              </c:numCache>
            </c:numRef>
          </c:val>
        </c:ser>
        <c:ser>
          <c:idx val="1"/>
          <c:order val="1"/>
          <c:tx>
            <c:strRef>
              <c:f>Lapa1!$C$1</c:f>
              <c:strCache>
                <c:ptCount val="1"/>
                <c:pt idx="0">
                  <c:v>KTTT 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Matemātika OL</c:v>
                </c:pt>
                <c:pt idx="1">
                  <c:v>Latviešu val.OL</c:v>
                </c:pt>
                <c:pt idx="2">
                  <c:v>Angļu val. OL</c:v>
                </c:pt>
              </c:strCache>
            </c:strRef>
          </c:cat>
          <c:val>
            <c:numRef>
              <c:f>Lapa1!$C$2:$C$4</c:f>
              <c:numCache>
                <c:formatCode>General</c:formatCode>
                <c:ptCount val="3"/>
                <c:pt idx="0">
                  <c:v>12.6</c:v>
                </c:pt>
                <c:pt idx="1">
                  <c:v>47.4</c:v>
                </c:pt>
                <c:pt idx="2">
                  <c:v>55.6</c:v>
                </c:pt>
              </c:numCache>
            </c:numRef>
          </c:val>
        </c:ser>
        <c:ser>
          <c:idx val="2"/>
          <c:order val="2"/>
          <c:tx>
            <c:strRef>
              <c:f>Lapa1!$D$1</c:f>
              <c:strCache>
                <c:ptCount val="1"/>
                <c:pt idx="0">
                  <c:v>Valstī 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Matemātika OL</c:v>
                </c:pt>
                <c:pt idx="1">
                  <c:v>Latviešu val.OL</c:v>
                </c:pt>
                <c:pt idx="2">
                  <c:v>Angļu val. OL</c:v>
                </c:pt>
              </c:strCache>
            </c:strRef>
          </c:cat>
          <c:val>
            <c:numRef>
              <c:f>Lapa1!$D$2:$D$4</c:f>
              <c:numCache>
                <c:formatCode>General</c:formatCode>
                <c:ptCount val="3"/>
                <c:pt idx="0">
                  <c:v>34.299999999999997</c:v>
                </c:pt>
                <c:pt idx="1">
                  <c:v>55.4</c:v>
                </c:pt>
                <c:pt idx="2">
                  <c:v>61.9</c:v>
                </c:pt>
              </c:numCache>
            </c:numRef>
          </c:val>
        </c:ser>
        <c:ser>
          <c:idx val="3"/>
          <c:order val="3"/>
          <c:tx>
            <c:strRef>
              <c:f>Lapa1!$E$1</c:f>
              <c:strCache>
                <c:ptCount val="1"/>
                <c:pt idx="0">
                  <c:v>KTTT 2023./2024.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Matemātika OL</c:v>
                </c:pt>
                <c:pt idx="1">
                  <c:v>Latviešu val.OL</c:v>
                </c:pt>
                <c:pt idx="2">
                  <c:v>Angļu val. OL</c:v>
                </c:pt>
              </c:strCache>
            </c:strRef>
          </c:cat>
          <c:val>
            <c:numRef>
              <c:f>Lapa1!$E$2:$E$4</c:f>
              <c:numCache>
                <c:formatCode>General</c:formatCode>
                <c:ptCount val="3"/>
                <c:pt idx="0">
                  <c:v>14.2</c:v>
                </c:pt>
                <c:pt idx="1">
                  <c:v>52.16</c:v>
                </c:pt>
                <c:pt idx="2">
                  <c:v>53.72</c:v>
                </c:pt>
              </c:numCache>
            </c:numRef>
          </c:val>
        </c:ser>
        <c:ser>
          <c:idx val="4"/>
          <c:order val="4"/>
          <c:tx>
            <c:strRef>
              <c:f>Lapa1!$F$1</c:f>
              <c:strCache>
                <c:ptCount val="1"/>
                <c:pt idx="0">
                  <c:v>Valstī</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Matemātika OL</c:v>
                </c:pt>
                <c:pt idx="1">
                  <c:v>Latviešu val.OL</c:v>
                </c:pt>
                <c:pt idx="2">
                  <c:v>Angļu val. OL</c:v>
                </c:pt>
              </c:strCache>
            </c:strRef>
          </c:cat>
          <c:val>
            <c:numRef>
              <c:f>Lapa1!$F$2:$F$4</c:f>
              <c:numCache>
                <c:formatCode>General</c:formatCode>
                <c:ptCount val="3"/>
                <c:pt idx="0">
                  <c:v>43.72</c:v>
                </c:pt>
                <c:pt idx="1">
                  <c:v>55.97</c:v>
                </c:pt>
                <c:pt idx="2">
                  <c:v>62.58</c:v>
                </c:pt>
              </c:numCache>
            </c:numRef>
          </c:val>
        </c:ser>
        <c:ser>
          <c:idx val="5"/>
          <c:order val="5"/>
          <c:tx>
            <c:strRef>
              <c:f>Lapa1!$G$1</c:f>
              <c:strCache>
                <c:ptCount val="1"/>
                <c:pt idx="0">
                  <c:v>KTTT 2024./2025.</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Lapa1!$A$2:$A$4</c:f>
              <c:strCache>
                <c:ptCount val="3"/>
                <c:pt idx="0">
                  <c:v>Matemātika OL</c:v>
                </c:pt>
                <c:pt idx="1">
                  <c:v>Latviešu val.OL</c:v>
                </c:pt>
                <c:pt idx="2">
                  <c:v>Angļu val. OL</c:v>
                </c:pt>
              </c:strCache>
            </c:strRef>
          </c:cat>
          <c:val>
            <c:numRef>
              <c:f>Lapa1!$G$2:$G$4</c:f>
              <c:numCache>
                <c:formatCode>General</c:formatCode>
                <c:ptCount val="3"/>
                <c:pt idx="0">
                  <c:v>14.8</c:v>
                </c:pt>
                <c:pt idx="1">
                  <c:v>48.6</c:v>
                </c:pt>
                <c:pt idx="2">
                  <c:v>52.5</c:v>
                </c:pt>
              </c:numCache>
            </c:numRef>
          </c:val>
        </c:ser>
        <c:dLbls>
          <c:showLegendKey val="0"/>
          <c:showVal val="0"/>
          <c:showCatName val="0"/>
          <c:showSerName val="0"/>
          <c:showPercent val="0"/>
          <c:showBubbleSize val="0"/>
        </c:dLbls>
        <c:gapWidth val="219"/>
        <c:overlap val="-27"/>
        <c:axId val="304849304"/>
        <c:axId val="304843816"/>
      </c:barChart>
      <c:catAx>
        <c:axId val="30484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4843816"/>
        <c:crosses val="autoZero"/>
        <c:auto val="1"/>
        <c:lblAlgn val="ctr"/>
        <c:lblOffset val="100"/>
        <c:noMultiLvlLbl val="0"/>
      </c:catAx>
      <c:valAx>
        <c:axId val="304843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04849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Pages>
  <Words>1992</Words>
  <Characters>1137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Parzine</dc:creator>
  <cp:keywords/>
  <dc:description/>
  <cp:lastModifiedBy>Parzine</cp:lastModifiedBy>
  <cp:revision>10</cp:revision>
  <dcterms:created xsi:type="dcterms:W3CDTF">2025-10-26T19:58:00Z</dcterms:created>
  <dcterms:modified xsi:type="dcterms:W3CDTF">2025-11-05T07:20:00Z</dcterms:modified>
</cp:coreProperties>
</file>