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8323C" w14:textId="77777777" w:rsidR="005552A0" w:rsidRPr="009A3B87" w:rsidRDefault="005552A0" w:rsidP="00445E64">
      <w:pPr>
        <w:tabs>
          <w:tab w:val="left" w:pos="7873"/>
        </w:tabs>
        <w:spacing w:line="276" w:lineRule="auto"/>
        <w:jc w:val="center"/>
        <w:rPr>
          <w:b/>
          <w:sz w:val="44"/>
          <w:szCs w:val="44"/>
        </w:rPr>
      </w:pPr>
      <w:r w:rsidRPr="009A3B87">
        <w:rPr>
          <w:b/>
          <w:sz w:val="44"/>
          <w:szCs w:val="44"/>
        </w:rPr>
        <w:t>Kuldīgas Tehnoloģiju un tūrisma tehnikuma</w:t>
      </w:r>
    </w:p>
    <w:p w14:paraId="1F8BF8CC" w14:textId="12C902AC" w:rsidR="009A3B87" w:rsidRPr="009A3B87" w:rsidRDefault="00E049A1" w:rsidP="00445E64">
      <w:pPr>
        <w:tabs>
          <w:tab w:val="left" w:pos="7873"/>
        </w:tabs>
        <w:spacing w:line="276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202</w:t>
      </w:r>
      <w:r w:rsidR="006A7D05">
        <w:rPr>
          <w:b/>
          <w:sz w:val="44"/>
          <w:szCs w:val="44"/>
        </w:rPr>
        <w:t>5</w:t>
      </w:r>
      <w:r>
        <w:rPr>
          <w:b/>
          <w:sz w:val="44"/>
          <w:szCs w:val="44"/>
        </w:rPr>
        <w:t>./202</w:t>
      </w:r>
      <w:r w:rsidR="006A7D05">
        <w:rPr>
          <w:b/>
          <w:sz w:val="44"/>
          <w:szCs w:val="44"/>
        </w:rPr>
        <w:t>6</w:t>
      </w:r>
      <w:r w:rsidR="005552A0" w:rsidRPr="009A3B87">
        <w:rPr>
          <w:b/>
          <w:sz w:val="44"/>
          <w:szCs w:val="44"/>
        </w:rPr>
        <w:t>.</w:t>
      </w:r>
      <w:r>
        <w:rPr>
          <w:b/>
          <w:sz w:val="44"/>
          <w:szCs w:val="44"/>
        </w:rPr>
        <w:t xml:space="preserve">mācību </w:t>
      </w:r>
      <w:r w:rsidR="005552A0" w:rsidRPr="009A3B87">
        <w:rPr>
          <w:b/>
          <w:sz w:val="44"/>
          <w:szCs w:val="44"/>
        </w:rPr>
        <w:t xml:space="preserve">gada centralizēto eksāmenu statistika </w:t>
      </w:r>
    </w:p>
    <w:p w14:paraId="57D46B25" w14:textId="15A0ACE8" w:rsidR="005552A0" w:rsidRPr="009A3B87" w:rsidRDefault="009A3B87" w:rsidP="00445E64">
      <w:pPr>
        <w:tabs>
          <w:tab w:val="left" w:pos="7873"/>
        </w:tabs>
        <w:spacing w:line="276" w:lineRule="auto"/>
        <w:jc w:val="center"/>
        <w:rPr>
          <w:b/>
          <w:sz w:val="32"/>
          <w:szCs w:val="32"/>
        </w:rPr>
      </w:pPr>
      <w:r w:rsidRPr="009A3B87">
        <w:rPr>
          <w:b/>
          <w:sz w:val="32"/>
          <w:szCs w:val="32"/>
        </w:rPr>
        <w:t>(grafisk</w:t>
      </w:r>
      <w:r w:rsidR="00E049A1">
        <w:rPr>
          <w:b/>
          <w:sz w:val="32"/>
          <w:szCs w:val="32"/>
        </w:rPr>
        <w:t>ais salīdzinājums ar 202</w:t>
      </w:r>
      <w:r w:rsidR="006A7D05">
        <w:rPr>
          <w:b/>
          <w:sz w:val="32"/>
          <w:szCs w:val="32"/>
        </w:rPr>
        <w:t>3</w:t>
      </w:r>
      <w:r w:rsidR="00E049A1">
        <w:rPr>
          <w:b/>
          <w:sz w:val="32"/>
          <w:szCs w:val="32"/>
        </w:rPr>
        <w:t>./202</w:t>
      </w:r>
      <w:r w:rsidR="006A7D05">
        <w:rPr>
          <w:b/>
          <w:sz w:val="32"/>
          <w:szCs w:val="32"/>
        </w:rPr>
        <w:t>4</w:t>
      </w:r>
      <w:r w:rsidR="00E049A1">
        <w:rPr>
          <w:b/>
          <w:sz w:val="32"/>
          <w:szCs w:val="32"/>
        </w:rPr>
        <w:t>.</w:t>
      </w:r>
      <w:r w:rsidRPr="009A3B87">
        <w:rPr>
          <w:b/>
          <w:sz w:val="32"/>
          <w:szCs w:val="32"/>
        </w:rPr>
        <w:t>m.g.</w:t>
      </w:r>
      <w:r w:rsidR="00E049A1">
        <w:rPr>
          <w:b/>
          <w:sz w:val="32"/>
          <w:szCs w:val="32"/>
        </w:rPr>
        <w:t xml:space="preserve"> un 202</w:t>
      </w:r>
      <w:r w:rsidR="006A7D05">
        <w:rPr>
          <w:b/>
          <w:sz w:val="32"/>
          <w:szCs w:val="32"/>
        </w:rPr>
        <w:t>4</w:t>
      </w:r>
      <w:r w:rsidR="00E049A1">
        <w:rPr>
          <w:b/>
          <w:sz w:val="32"/>
          <w:szCs w:val="32"/>
        </w:rPr>
        <w:t>./202</w:t>
      </w:r>
      <w:r w:rsidR="006A7D05">
        <w:rPr>
          <w:b/>
          <w:sz w:val="32"/>
          <w:szCs w:val="32"/>
        </w:rPr>
        <w:t>5</w:t>
      </w:r>
      <w:r w:rsidR="00E049A1">
        <w:rPr>
          <w:b/>
          <w:sz w:val="32"/>
          <w:szCs w:val="32"/>
        </w:rPr>
        <w:t>.m.g.</w:t>
      </w:r>
      <w:r w:rsidRPr="009A3B87">
        <w:rPr>
          <w:b/>
          <w:sz w:val="32"/>
          <w:szCs w:val="32"/>
        </w:rPr>
        <w:t xml:space="preserve">) </w:t>
      </w:r>
    </w:p>
    <w:p w14:paraId="0B1F5DC2" w14:textId="77777777" w:rsidR="005A267A" w:rsidRPr="0042461D" w:rsidRDefault="005A267A" w:rsidP="005A267A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4D5CA3DB" w14:textId="77777777" w:rsidR="005A267A" w:rsidRPr="0042461D" w:rsidRDefault="005A267A" w:rsidP="005A267A">
      <w:r w:rsidRPr="0042461D">
        <w:rPr>
          <w:noProof/>
        </w:rPr>
        <w:drawing>
          <wp:inline distT="0" distB="0" distL="0" distR="0" wp14:anchorId="6C7588AF" wp14:editId="04961AD6">
            <wp:extent cx="5295900" cy="2428875"/>
            <wp:effectExtent l="0" t="0" r="0" b="9525"/>
            <wp:docPr id="5" name="Diagramma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606F43A" w14:textId="77777777" w:rsidR="00E266A8" w:rsidRDefault="005A267A" w:rsidP="005A267A">
      <w:r>
        <w:t xml:space="preserve"> </w:t>
      </w:r>
    </w:p>
    <w:p w14:paraId="03D455F3" w14:textId="34B8E041" w:rsidR="007072C8" w:rsidRDefault="00E266A8" w:rsidP="00B0013E">
      <w:pPr>
        <w:spacing w:line="276" w:lineRule="auto"/>
      </w:pPr>
      <w:r>
        <w:t>202</w:t>
      </w:r>
      <w:r w:rsidR="006A7D05">
        <w:t>3</w:t>
      </w:r>
      <w:r>
        <w:t>./202</w:t>
      </w:r>
      <w:r w:rsidR="006A7D05">
        <w:t>4</w:t>
      </w:r>
      <w:r>
        <w:t>.m.g. - 43 izglītojamie</w:t>
      </w:r>
      <w:r w:rsidR="00E049A1">
        <w:t>, 202</w:t>
      </w:r>
      <w:r w:rsidR="006A7D05">
        <w:t>4</w:t>
      </w:r>
      <w:r w:rsidR="00E049A1">
        <w:t>./202</w:t>
      </w:r>
      <w:r w:rsidR="006A7D05">
        <w:t>5</w:t>
      </w:r>
      <w:r w:rsidR="00E049A1">
        <w:t>.m.g. - 62 izglītojamie</w:t>
      </w:r>
      <w:r w:rsidR="006A7D05">
        <w:t xml:space="preserve">, </w:t>
      </w:r>
      <w:r w:rsidR="006A7D05">
        <w:t>202</w:t>
      </w:r>
      <w:r w:rsidR="006A7D05">
        <w:t>5</w:t>
      </w:r>
      <w:r w:rsidR="006A7D05">
        <w:t>./202</w:t>
      </w:r>
      <w:r w:rsidR="006A7D05">
        <w:t>6</w:t>
      </w:r>
      <w:r w:rsidR="006A7D05">
        <w:t xml:space="preserve">.m.g. angļu valodas eksāmenu kārtoja </w:t>
      </w:r>
      <w:r w:rsidR="006A7D05">
        <w:t>66</w:t>
      </w:r>
      <w:r w:rsidR="006A7D05">
        <w:t xml:space="preserve"> izglītojamie,</w:t>
      </w:r>
      <w:r>
        <w:t xml:space="preserve">. </w:t>
      </w:r>
      <w:r w:rsidR="007072C8">
        <w:t xml:space="preserve"> </w:t>
      </w:r>
    </w:p>
    <w:p w14:paraId="03F20EF1" w14:textId="34681DF6" w:rsidR="007072C8" w:rsidRPr="00E049A1" w:rsidRDefault="009027E1" w:rsidP="00B0013E">
      <w:pPr>
        <w:spacing w:line="276" w:lineRule="auto"/>
        <w:rPr>
          <w:highlight w:val="yellow"/>
        </w:rPr>
      </w:pPr>
      <w:r>
        <w:t xml:space="preserve"> </w:t>
      </w:r>
      <w:r w:rsidR="00B13665">
        <w:t>Eksāmena rezultāti par</w:t>
      </w:r>
      <w:r w:rsidR="00403CFC">
        <w:t>āda, ka izglītojamo zināšanu līmenis</w:t>
      </w:r>
      <w:r w:rsidR="003D6207">
        <w:t>,</w:t>
      </w:r>
      <w:r w:rsidR="00403CFC">
        <w:t xml:space="preserve"> </w:t>
      </w:r>
      <w:r w:rsidR="002F728F">
        <w:t>salīdzinot pa mācību gadiem</w:t>
      </w:r>
      <w:r w:rsidR="003D6207">
        <w:t>,</w:t>
      </w:r>
      <w:r w:rsidR="002F728F">
        <w:t xml:space="preserve"> </w:t>
      </w:r>
      <w:r w:rsidR="00403CFC">
        <w:t>ir</w:t>
      </w:r>
      <w:r w:rsidR="002F728F">
        <w:t xml:space="preserve"> līdzīgs</w:t>
      </w:r>
      <w:r>
        <w:t xml:space="preserve">. Laba iespēja papildināt zināšanas ir dalība </w:t>
      </w:r>
      <w:proofErr w:type="spellStart"/>
      <w:r>
        <w:t>Erasmus</w:t>
      </w:r>
      <w:proofErr w:type="spellEnd"/>
      <w:r>
        <w:t xml:space="preserve">+ projektos, šo iespēju izmantojot, jaunieši ievērojami uzlabo rezultātus </w:t>
      </w:r>
      <w:r w:rsidR="00AE1090">
        <w:t xml:space="preserve">tieši eksāmena </w:t>
      </w:r>
      <w:r>
        <w:t>mutvārdu daļā.</w:t>
      </w:r>
      <w:r w:rsidR="00445E64">
        <w:t xml:space="preserve"> Tāpat pedagogi novērtē, ka ik gadu izglītojamo </w:t>
      </w:r>
      <w:proofErr w:type="spellStart"/>
      <w:r w:rsidR="00445E64">
        <w:t>pamatzināšanas</w:t>
      </w:r>
      <w:proofErr w:type="spellEnd"/>
      <w:r w:rsidR="00445E64">
        <w:t xml:space="preserve"> angļu valodā uzlabojas.</w:t>
      </w:r>
    </w:p>
    <w:p w14:paraId="7A5267CA" w14:textId="77777777" w:rsidR="005A267A" w:rsidRDefault="005A267A" w:rsidP="005A267A"/>
    <w:p w14:paraId="683A473B" w14:textId="77777777" w:rsidR="005A267A" w:rsidRPr="0042461D" w:rsidRDefault="005A267A" w:rsidP="005A267A">
      <w:r w:rsidRPr="0042461D">
        <w:rPr>
          <w:noProof/>
        </w:rPr>
        <w:drawing>
          <wp:inline distT="0" distB="0" distL="0" distR="0" wp14:anchorId="2B9C7A26" wp14:editId="581BFCC0">
            <wp:extent cx="5542059" cy="2194560"/>
            <wp:effectExtent l="0" t="0" r="1905" b="15240"/>
            <wp:docPr id="6" name="Diagramma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42461D">
        <w:t xml:space="preserve"> </w:t>
      </w:r>
    </w:p>
    <w:p w14:paraId="1ECB948D" w14:textId="77777777" w:rsidR="002F78A2" w:rsidRDefault="002F78A2" w:rsidP="00AE1090">
      <w:pPr>
        <w:spacing w:line="360" w:lineRule="auto"/>
      </w:pPr>
    </w:p>
    <w:p w14:paraId="030EB134" w14:textId="4C468DB1" w:rsidR="00EC51B6" w:rsidRDefault="001458F4" w:rsidP="00B0013E">
      <w:pPr>
        <w:spacing w:line="276" w:lineRule="auto"/>
      </w:pPr>
      <w:r>
        <w:lastRenderedPageBreak/>
        <w:t>2023./2024.m.g. - 43 izglītojamie</w:t>
      </w:r>
      <w:r w:rsidR="00FA79B4">
        <w:t>, 2024./2025.m.g.- 61</w:t>
      </w:r>
      <w:r w:rsidR="000149F6">
        <w:t xml:space="preserve">, </w:t>
      </w:r>
      <w:r w:rsidR="000149F6">
        <w:t>202</w:t>
      </w:r>
      <w:r w:rsidR="000149F6">
        <w:t>5</w:t>
      </w:r>
      <w:r w:rsidR="000149F6">
        <w:t>./202</w:t>
      </w:r>
      <w:r w:rsidR="000149F6">
        <w:t>6</w:t>
      </w:r>
      <w:r w:rsidR="000149F6">
        <w:t xml:space="preserve">.m.g. eksāmenu kārtoja </w:t>
      </w:r>
      <w:r w:rsidR="000149F6">
        <w:t>67</w:t>
      </w:r>
      <w:r w:rsidR="000149F6">
        <w:t xml:space="preserve"> izglītojamie</w:t>
      </w:r>
      <w:r>
        <w:t>.</w:t>
      </w:r>
    </w:p>
    <w:p w14:paraId="65B0D268" w14:textId="6B04BCAA" w:rsidR="00AE1090" w:rsidRDefault="00AE1090" w:rsidP="00B0013E">
      <w:pPr>
        <w:spacing w:line="276" w:lineRule="auto"/>
      </w:pPr>
      <w:r>
        <w:t xml:space="preserve">Eksāmenu rezultāti </w:t>
      </w:r>
      <w:r w:rsidR="00AC350C">
        <w:t>2025./2026.m.g. ir ar augstākiem procentiem. Gatavojoties eksāmeniem, izglītojamie ievērojuši norādes</w:t>
      </w:r>
      <w:r w:rsidR="000327A5">
        <w:t>.</w:t>
      </w:r>
      <w:r w:rsidR="00AC350C">
        <w:t xml:space="preserve"> </w:t>
      </w:r>
      <w:r w:rsidR="000327A5">
        <w:t>V</w:t>
      </w:r>
      <w:r w:rsidR="00AC350C">
        <w:t xml:space="preserve">airāk darba pedagogi </w:t>
      </w:r>
      <w:r w:rsidR="000327A5">
        <w:t xml:space="preserve">un arī izglītojamie </w:t>
      </w:r>
      <w:r w:rsidR="00AC350C">
        <w:t xml:space="preserve">ieguldījuši </w:t>
      </w:r>
      <w:r w:rsidR="009040C4">
        <w:t xml:space="preserve">tieši </w:t>
      </w:r>
      <w:r w:rsidR="00AC350C">
        <w:t>mutvārdu daļas sagatavošanās procesā</w:t>
      </w:r>
      <w:r w:rsidR="000327A5">
        <w:t>, jo ir salīdzinoši labāki rezultāti</w:t>
      </w:r>
      <w:r w:rsidR="00AC350C">
        <w:t>.</w:t>
      </w:r>
      <w:r w:rsidR="009040C4">
        <w:t xml:space="preserve"> Viens audzēknis, kurš iepriekšējā mācību gadā neieguva pietiekamu rezultātu, eksāmenu šogad nokārtoja.</w:t>
      </w:r>
    </w:p>
    <w:p w14:paraId="2F848AC6" w14:textId="3B70FD3E" w:rsidR="00FA79B4" w:rsidRDefault="0050649A" w:rsidP="005A267A">
      <w:pPr>
        <w:spacing w:before="240" w:line="276" w:lineRule="auto"/>
      </w:pPr>
      <w:r>
        <w:rPr>
          <w:noProof/>
        </w:rPr>
        <w:drawing>
          <wp:inline distT="0" distB="0" distL="0" distR="0" wp14:anchorId="10FE3C1F" wp14:editId="21AFE4C1">
            <wp:extent cx="4819650" cy="2628900"/>
            <wp:effectExtent l="0" t="0" r="0" b="0"/>
            <wp:docPr id="2" name="Diagramma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ACC9950" w14:textId="044C5747" w:rsidR="001458F4" w:rsidRDefault="001458F4" w:rsidP="00B0013E">
      <w:pPr>
        <w:spacing w:line="276" w:lineRule="auto"/>
      </w:pPr>
      <w:r w:rsidRPr="00C3219A">
        <w:t>2023./2024.m.g. - 45 izglītojamie</w:t>
      </w:r>
      <w:r w:rsidR="00C3219A" w:rsidRPr="00C3219A">
        <w:t>, 15 % neieguva 27 audzēkņi</w:t>
      </w:r>
      <w:r w:rsidR="00385BA0">
        <w:t>, no tiem 10 eksāmenu kārtoja atkārtoti</w:t>
      </w:r>
      <w:r w:rsidR="004D3BD5">
        <w:t>, 2024./2025.m.g.-72 izgl</w:t>
      </w:r>
      <w:r w:rsidR="00FA79B4">
        <w:t>ītojamie,</w:t>
      </w:r>
      <w:r w:rsidR="00FA79B4" w:rsidRPr="00FA79B4">
        <w:t xml:space="preserve"> </w:t>
      </w:r>
      <w:r w:rsidR="00FA79B4">
        <w:t>no tiem 12 eksāmenu kārtoja atkārtoti</w:t>
      </w:r>
      <w:r w:rsidR="0050649A">
        <w:t xml:space="preserve">, </w:t>
      </w:r>
      <w:r w:rsidR="0050649A">
        <w:t>202</w:t>
      </w:r>
      <w:r w:rsidR="0050649A">
        <w:t>5</w:t>
      </w:r>
      <w:r w:rsidR="0050649A">
        <w:t>./202</w:t>
      </w:r>
      <w:r w:rsidR="0050649A">
        <w:t>6</w:t>
      </w:r>
      <w:r w:rsidR="0050649A">
        <w:t xml:space="preserve">.m.g. eksāmenu kārtoja </w:t>
      </w:r>
      <w:r w:rsidR="0050649A">
        <w:t>83</w:t>
      </w:r>
      <w:r w:rsidR="0050649A">
        <w:t xml:space="preserve"> izglītojamie, </w:t>
      </w:r>
      <w:r w:rsidR="0050649A">
        <w:t>2</w:t>
      </w:r>
      <w:r w:rsidR="0050649A" w:rsidRPr="00C3219A">
        <w:t xml:space="preserve">0 % neieguva </w:t>
      </w:r>
      <w:r w:rsidR="0050649A">
        <w:t xml:space="preserve">51 </w:t>
      </w:r>
      <w:r w:rsidR="0050649A" w:rsidRPr="00C3219A">
        <w:t>audzēk</w:t>
      </w:r>
      <w:r w:rsidR="0050649A">
        <w:t>nis</w:t>
      </w:r>
      <w:r w:rsidR="0050649A" w:rsidRPr="00C3219A">
        <w:t>,</w:t>
      </w:r>
      <w:r w:rsidR="0050649A">
        <w:t xml:space="preserve"> 19 audzēkņi to kārtoja atkārtoti, tikai viens  no kārtotājiem ieguva sertifikātu.</w:t>
      </w:r>
    </w:p>
    <w:p w14:paraId="66223B32" w14:textId="649017F7" w:rsidR="008735AC" w:rsidRDefault="0050649A" w:rsidP="00B0013E">
      <w:pPr>
        <w:spacing w:line="276" w:lineRule="auto"/>
      </w:pPr>
      <w:r>
        <w:t xml:space="preserve">Matemātikas eksāmenu rezultāti kārtējo mācību gadu ir kritiski zemi. Izglītojamie, kuriem nav </w:t>
      </w:r>
      <w:proofErr w:type="spellStart"/>
      <w:r>
        <w:t>pamatzināšan</w:t>
      </w:r>
      <w:r w:rsidR="00915820">
        <w:t>u</w:t>
      </w:r>
      <w:proofErr w:type="spellEnd"/>
      <w:r w:rsidR="004F1707">
        <w:t>, nespēj apgūt vispārējās vidējās izglītības standarta prasības</w:t>
      </w:r>
      <w:r w:rsidR="00915820">
        <w:t xml:space="preserve">. Viņi nespēj sekot mācību tēmām, neiegulda papildus darbu, lai zināšanas uzlabotu. </w:t>
      </w:r>
    </w:p>
    <w:p w14:paraId="5CD95C6A" w14:textId="0395D6A9" w:rsidR="002F78A2" w:rsidRDefault="00B0013E" w:rsidP="00B0013E">
      <w:pPr>
        <w:spacing w:line="276" w:lineRule="auto"/>
      </w:pPr>
      <w:r>
        <w:t>Viena i</w:t>
      </w:r>
      <w:r w:rsidR="008C13EA">
        <w:t>zglītojamā</w:t>
      </w:r>
      <w:r w:rsidR="00915820">
        <w:t>, kur</w:t>
      </w:r>
      <w:r w:rsidR="008C13EA">
        <w:t>a</w:t>
      </w:r>
      <w:r w:rsidR="008735AC">
        <w:t xml:space="preserve"> mācību gada laikā strādāja papildus ar privātskolotāj</w:t>
      </w:r>
      <w:r w:rsidR="008C13EA">
        <w:t>u</w:t>
      </w:r>
      <w:r w:rsidR="008735AC">
        <w:t>,</w:t>
      </w:r>
      <w:r w:rsidR="008C13EA">
        <w:t xml:space="preserve"> sakārtoja dokumentus, lai var saņemt atbalsta pasākumus un izmantot atbalsta materiālus, </w:t>
      </w:r>
      <w:r w:rsidR="008735AC">
        <w:t xml:space="preserve"> </w:t>
      </w:r>
      <w:r w:rsidR="00915820">
        <w:t>nespēj</w:t>
      </w:r>
      <w:r w:rsidR="008C13EA">
        <w:t>a</w:t>
      </w:r>
      <w:r w:rsidR="00915820">
        <w:t xml:space="preserve"> kontrolēt savu</w:t>
      </w:r>
      <w:r w:rsidR="008735AC">
        <w:t xml:space="preserve"> </w:t>
      </w:r>
      <w:proofErr w:type="spellStart"/>
      <w:r w:rsidR="008735AC">
        <w:t>psihoemocionāl</w:t>
      </w:r>
      <w:r w:rsidR="00915820">
        <w:t>o</w:t>
      </w:r>
      <w:proofErr w:type="spellEnd"/>
      <w:r w:rsidR="008735AC">
        <w:t xml:space="preserve"> stāvokli</w:t>
      </w:r>
      <w:r w:rsidR="00915820">
        <w:t xml:space="preserve"> un diemžēl palika bez sertifikāta.</w:t>
      </w:r>
      <w:r w:rsidR="008C13EA">
        <w:t xml:space="preserve"> </w:t>
      </w:r>
    </w:p>
    <w:p w14:paraId="69CCC7ED" w14:textId="19FB718F" w:rsidR="008C13EA" w:rsidRDefault="008C13EA" w:rsidP="00B0013E">
      <w:pPr>
        <w:spacing w:line="276" w:lineRule="auto"/>
      </w:pPr>
      <w:r>
        <w:t xml:space="preserve">Aizvien biežāk ir situācijas, ka izglītojamie 3.kursā </w:t>
      </w:r>
      <w:r w:rsidR="00B0013E">
        <w:t xml:space="preserve">kārto </w:t>
      </w:r>
      <w:r>
        <w:t>eksāmenus, matemātikā nesasniedz 20% un meklē atbrīvojumu 4.kursā. Un izrādās, ka 9.klasē viņiem ir bijis atbrīvojums, bet vecāki gribēja, lai viņi eksāmenus kārto.</w:t>
      </w:r>
    </w:p>
    <w:p w14:paraId="19BB3131" w14:textId="3EB0011C" w:rsidR="00992EFD" w:rsidRDefault="00992EFD" w:rsidP="00B0013E">
      <w:pPr>
        <w:spacing w:line="276" w:lineRule="auto"/>
      </w:pPr>
      <w:r>
        <w:t>Visu centralizēto eksāmenu rezultātus ietekmē:</w:t>
      </w:r>
    </w:p>
    <w:p w14:paraId="626CBED9" w14:textId="2C144066" w:rsidR="00992EFD" w:rsidRPr="00992EFD" w:rsidRDefault="00992EFD" w:rsidP="00992EFD">
      <w:pPr>
        <w:pStyle w:val="Sarakstarindkopa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2EFD">
        <w:rPr>
          <w:rFonts w:ascii="Times New Roman" w:hAnsi="Times New Roman" w:cs="Times New Roman"/>
          <w:sz w:val="24"/>
          <w:szCs w:val="24"/>
        </w:rPr>
        <w:t>Kavējumi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autoskola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darba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attiecību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92EFD">
        <w:rPr>
          <w:rFonts w:ascii="Times New Roman" w:hAnsi="Times New Roman" w:cs="Times New Roman"/>
          <w:sz w:val="24"/>
          <w:szCs w:val="24"/>
        </w:rPr>
        <w:t>uzsākšana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992EFD">
        <w:rPr>
          <w:rFonts w:ascii="Times New Roman" w:hAnsi="Times New Roman" w:cs="Times New Roman"/>
          <w:sz w:val="24"/>
          <w:szCs w:val="24"/>
        </w:rPr>
        <w:t>ģimenes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finaansiālās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situācijas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dēļ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) un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neprasme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apvienot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mācībām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Izglītojamie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nestrādā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regulāri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arī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ne</w:t>
      </w:r>
      <w:r w:rsidR="00915820">
        <w:rPr>
          <w:rFonts w:ascii="Times New Roman" w:hAnsi="Times New Roman" w:cs="Times New Roman"/>
          <w:sz w:val="24"/>
          <w:szCs w:val="24"/>
        </w:rPr>
        <w:t>saskata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820">
        <w:rPr>
          <w:rFonts w:ascii="Times New Roman" w:hAnsi="Times New Roman" w:cs="Times New Roman"/>
          <w:sz w:val="24"/>
          <w:szCs w:val="24"/>
        </w:rPr>
        <w:t>nepieciešamību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apmeklēt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konsultācijas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>.</w:t>
      </w:r>
    </w:p>
    <w:p w14:paraId="00E28545" w14:textId="3FFBC708" w:rsidR="00385BA0" w:rsidRDefault="00385BA0" w:rsidP="00385BA0">
      <w:pPr>
        <w:pStyle w:val="Sarakstarindkopa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2EFD">
        <w:rPr>
          <w:rFonts w:ascii="Times New Roman" w:hAnsi="Times New Roman" w:cs="Times New Roman"/>
          <w:sz w:val="24"/>
          <w:szCs w:val="24"/>
        </w:rPr>
        <w:t>Motivācijas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trūkums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5820">
        <w:rPr>
          <w:rFonts w:ascii="Times New Roman" w:hAnsi="Times New Roman" w:cs="Times New Roman"/>
          <w:sz w:val="24"/>
          <w:szCs w:val="24"/>
        </w:rPr>
        <w:t>Izglītojamie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820">
        <w:rPr>
          <w:rFonts w:ascii="Times New Roman" w:hAnsi="Times New Roman" w:cs="Times New Roman"/>
          <w:sz w:val="24"/>
          <w:szCs w:val="24"/>
        </w:rPr>
        <w:t>nesatraucas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="00915820">
        <w:rPr>
          <w:rFonts w:ascii="Times New Roman" w:hAnsi="Times New Roman" w:cs="Times New Roman"/>
          <w:sz w:val="24"/>
          <w:szCs w:val="24"/>
        </w:rPr>
        <w:t>rezultātu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5820">
        <w:rPr>
          <w:rFonts w:ascii="Times New Roman" w:hAnsi="Times New Roman" w:cs="Times New Roman"/>
          <w:sz w:val="24"/>
          <w:szCs w:val="24"/>
        </w:rPr>
        <w:t>necenšas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820">
        <w:rPr>
          <w:rFonts w:ascii="Times New Roman" w:hAnsi="Times New Roman" w:cs="Times New Roman"/>
          <w:sz w:val="24"/>
          <w:szCs w:val="24"/>
        </w:rPr>
        <w:t>uzlabot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820">
        <w:rPr>
          <w:rFonts w:ascii="Times New Roman" w:hAnsi="Times New Roman" w:cs="Times New Roman"/>
          <w:sz w:val="24"/>
          <w:szCs w:val="24"/>
        </w:rPr>
        <w:t>savas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820">
        <w:rPr>
          <w:rFonts w:ascii="Times New Roman" w:hAnsi="Times New Roman" w:cs="Times New Roman"/>
          <w:sz w:val="24"/>
          <w:szCs w:val="24"/>
        </w:rPr>
        <w:t>zināšanas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013E">
        <w:rPr>
          <w:rFonts w:ascii="Times New Roman" w:hAnsi="Times New Roman" w:cs="Times New Roman"/>
          <w:sz w:val="24"/>
          <w:szCs w:val="24"/>
        </w:rPr>
        <w:t>ne</w:t>
      </w:r>
      <w:r w:rsidR="00915820">
        <w:rPr>
          <w:rFonts w:ascii="Times New Roman" w:hAnsi="Times New Roman" w:cs="Times New Roman"/>
          <w:sz w:val="24"/>
          <w:szCs w:val="24"/>
        </w:rPr>
        <w:t>strādā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5820">
        <w:rPr>
          <w:rFonts w:ascii="Times New Roman" w:hAnsi="Times New Roman" w:cs="Times New Roman"/>
          <w:sz w:val="24"/>
          <w:szCs w:val="24"/>
        </w:rPr>
        <w:t>papildus</w:t>
      </w:r>
      <w:proofErr w:type="spellEnd"/>
      <w:r w:rsidR="00915820">
        <w:rPr>
          <w:rFonts w:ascii="Times New Roman" w:hAnsi="Times New Roman" w:cs="Times New Roman"/>
          <w:sz w:val="24"/>
          <w:szCs w:val="24"/>
        </w:rPr>
        <w:t>.</w:t>
      </w:r>
    </w:p>
    <w:p w14:paraId="5F9AF942" w14:textId="5494BFB3" w:rsidR="00B0013E" w:rsidRPr="00992EFD" w:rsidRDefault="00B0013E" w:rsidP="00385BA0">
      <w:pPr>
        <w:pStyle w:val="Sarakstarindkopa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Zināšanu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nenoturīgums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D1F53E7" w14:textId="77777777" w:rsidR="00385BA0" w:rsidRPr="00992EFD" w:rsidRDefault="00992EFD" w:rsidP="00385BA0">
      <w:pPr>
        <w:pStyle w:val="Sarakstarindkopa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2EFD">
        <w:rPr>
          <w:rFonts w:ascii="Times New Roman" w:hAnsi="Times New Roman" w:cs="Times New Roman"/>
          <w:sz w:val="24"/>
          <w:szCs w:val="24"/>
        </w:rPr>
        <w:lastRenderedPageBreak/>
        <w:t>Atšķirīgs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stundu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skaits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vispārējās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izglītības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iestādēm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, bet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eksāmens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EFD">
        <w:rPr>
          <w:rFonts w:ascii="Times New Roman" w:hAnsi="Times New Roman" w:cs="Times New Roman"/>
          <w:sz w:val="24"/>
          <w:szCs w:val="24"/>
        </w:rPr>
        <w:t>vienāds</w:t>
      </w:r>
      <w:proofErr w:type="spellEnd"/>
      <w:r w:rsidRPr="00992EFD">
        <w:rPr>
          <w:rFonts w:ascii="Times New Roman" w:hAnsi="Times New Roman" w:cs="Times New Roman"/>
          <w:sz w:val="24"/>
          <w:szCs w:val="24"/>
        </w:rPr>
        <w:t>.</w:t>
      </w:r>
    </w:p>
    <w:p w14:paraId="05E2825D" w14:textId="77777777" w:rsidR="00385BA0" w:rsidRPr="008C13EA" w:rsidRDefault="00AD66BC" w:rsidP="007E00C6">
      <w:pPr>
        <w:pStyle w:val="Sarakstarindkopa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proofErr w:type="spellStart"/>
      <w:r w:rsidRPr="00992EFD">
        <w:rPr>
          <w:rFonts w:ascii="Times New Roman" w:hAnsi="Times New Roman" w:cs="Times New Roman"/>
          <w:sz w:val="24"/>
          <w:szCs w:val="24"/>
        </w:rPr>
        <w:t>P</w:t>
      </w:r>
      <w:r w:rsidR="00385BA0" w:rsidRPr="00992EFD">
        <w:rPr>
          <w:rFonts w:ascii="Times New Roman" w:hAnsi="Times New Roman" w:cs="Times New Roman"/>
          <w:sz w:val="24"/>
          <w:szCs w:val="24"/>
        </w:rPr>
        <w:t>ašvadītas</w:t>
      </w:r>
      <w:proofErr w:type="spellEnd"/>
      <w:r w:rsidR="00385BA0"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5BA0" w:rsidRPr="00992EFD">
        <w:rPr>
          <w:rFonts w:ascii="Times New Roman" w:hAnsi="Times New Roman" w:cs="Times New Roman"/>
          <w:sz w:val="24"/>
          <w:szCs w:val="24"/>
        </w:rPr>
        <w:t>mācīšanās</w:t>
      </w:r>
      <w:proofErr w:type="spellEnd"/>
      <w:r w:rsidR="00385BA0" w:rsidRPr="00992E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5BA0" w:rsidRPr="00992EFD">
        <w:rPr>
          <w:rFonts w:ascii="Times New Roman" w:hAnsi="Times New Roman" w:cs="Times New Roman"/>
          <w:sz w:val="24"/>
          <w:szCs w:val="24"/>
        </w:rPr>
        <w:t>trūkums</w:t>
      </w:r>
      <w:proofErr w:type="spellEnd"/>
      <w:r w:rsidR="00385BA0" w:rsidRPr="00992E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6CCF92" w14:textId="01FEBBB3" w:rsidR="008C13EA" w:rsidRPr="00915820" w:rsidRDefault="008C13EA" w:rsidP="007E00C6">
      <w:pPr>
        <w:pStyle w:val="Sarakstarindkopa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tehnikuma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skolotāji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jau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gadiem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runā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>
        <w:rPr>
          <w:rFonts w:ascii="Times New Roman" w:hAnsi="Times New Roman" w:cs="Times New Roman"/>
          <w:sz w:val="24"/>
          <w:szCs w:val="24"/>
        </w:rPr>
        <w:t>izglītojamo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lasītprasmi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tekstpratību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jo </w:t>
      </w:r>
      <w:proofErr w:type="spellStart"/>
      <w:r>
        <w:rPr>
          <w:rFonts w:ascii="Times New Roman" w:hAnsi="Times New Roman" w:cs="Times New Roman"/>
          <w:sz w:val="24"/>
          <w:szCs w:val="24"/>
        </w:rPr>
        <w:t>tās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ietekmē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eksāmneu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rezultātus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7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2"/>
        <w:gridCol w:w="1985"/>
        <w:gridCol w:w="2395"/>
        <w:gridCol w:w="2268"/>
      </w:tblGrid>
      <w:tr w:rsidR="00B53597" w14:paraId="60F0DB90" w14:textId="77777777" w:rsidTr="00AD66BC">
        <w:trPr>
          <w:trHeight w:val="71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C5A6B9" w14:textId="77777777" w:rsidR="00B53597" w:rsidRDefault="00B53597" w:rsidP="00A221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99C76B" w14:textId="77777777" w:rsidR="00B53597" w:rsidRDefault="00B53597" w:rsidP="00A221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Latviešu valoda OL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9844742" w14:textId="77777777" w:rsidR="00B53597" w:rsidRDefault="00B53597" w:rsidP="00A221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Matemātika 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2AEA4B0" w14:textId="77777777" w:rsidR="00B53597" w:rsidRDefault="00B53597" w:rsidP="00A221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Angļu valoda OL</w:t>
            </w:r>
          </w:p>
        </w:tc>
      </w:tr>
      <w:tr w:rsidR="00B53597" w:rsidRPr="00343EED" w14:paraId="3DD5ED1A" w14:textId="77777777" w:rsidTr="00915820">
        <w:trPr>
          <w:trHeight w:val="71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052C" w14:textId="77777777" w:rsidR="00B53597" w:rsidRPr="00343EED" w:rsidRDefault="00B53597" w:rsidP="00A221BF">
            <w:pPr>
              <w:jc w:val="center"/>
              <w:rPr>
                <w:sz w:val="28"/>
                <w:szCs w:val="28"/>
              </w:rPr>
            </w:pPr>
          </w:p>
          <w:p w14:paraId="67E72500" w14:textId="77777777" w:rsidR="00B53597" w:rsidRPr="00343EED" w:rsidRDefault="00B53597" w:rsidP="00A221BF">
            <w:pPr>
              <w:jc w:val="center"/>
              <w:rPr>
                <w:b/>
                <w:sz w:val="28"/>
                <w:szCs w:val="28"/>
              </w:rPr>
            </w:pPr>
            <w:r w:rsidRPr="00343EED">
              <w:rPr>
                <w:b/>
                <w:sz w:val="28"/>
                <w:szCs w:val="28"/>
              </w:rPr>
              <w:t>Tehnikumā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35DCC" w14:textId="5632EC18" w:rsidR="00B53597" w:rsidRPr="00343EED" w:rsidRDefault="00915820" w:rsidP="00FA79B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50,07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22B0F" w14:textId="094D4494" w:rsidR="00B53597" w:rsidRPr="00343EED" w:rsidRDefault="00915820" w:rsidP="00FA79B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AB105" w14:textId="1AAFC7B0" w:rsidR="00B53597" w:rsidRPr="00343EED" w:rsidRDefault="00915820" w:rsidP="00A221B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60,55</w:t>
            </w:r>
          </w:p>
        </w:tc>
      </w:tr>
      <w:tr w:rsidR="00B53597" w:rsidRPr="00343EED" w14:paraId="0F5F9BF0" w14:textId="77777777" w:rsidTr="00AD66BC">
        <w:trPr>
          <w:trHeight w:val="717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C195" w14:textId="77777777" w:rsidR="00B53597" w:rsidRPr="00343EED" w:rsidRDefault="00B53597" w:rsidP="00A221BF">
            <w:pPr>
              <w:jc w:val="center"/>
              <w:rPr>
                <w:sz w:val="28"/>
                <w:szCs w:val="28"/>
              </w:rPr>
            </w:pPr>
          </w:p>
          <w:p w14:paraId="39104161" w14:textId="77777777" w:rsidR="00B53597" w:rsidRPr="00343EED" w:rsidRDefault="00B53597" w:rsidP="00A221BF">
            <w:pPr>
              <w:jc w:val="center"/>
              <w:rPr>
                <w:b/>
                <w:sz w:val="28"/>
                <w:szCs w:val="28"/>
              </w:rPr>
            </w:pPr>
            <w:r w:rsidRPr="00343EED">
              <w:rPr>
                <w:b/>
                <w:sz w:val="28"/>
                <w:szCs w:val="28"/>
              </w:rPr>
              <w:t>Valstī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8EE52" w14:textId="27E49161" w:rsidR="00B53597" w:rsidRPr="00343EED" w:rsidRDefault="00915820" w:rsidP="00A221B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58,9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B8F96" w14:textId="2FAA55E4" w:rsidR="00B53597" w:rsidRPr="00343EED" w:rsidRDefault="00915820" w:rsidP="00A221B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0587D" w14:textId="70ED09FB" w:rsidR="00B53597" w:rsidRPr="00343EED" w:rsidRDefault="00915820" w:rsidP="00A221B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67,3</w:t>
            </w:r>
          </w:p>
        </w:tc>
      </w:tr>
    </w:tbl>
    <w:p w14:paraId="1A1C694A" w14:textId="77777777" w:rsidR="00B0013E" w:rsidRDefault="00B0013E" w:rsidP="005A267A">
      <w:pPr>
        <w:rPr>
          <w:b/>
          <w:sz w:val="32"/>
          <w:szCs w:val="32"/>
        </w:rPr>
      </w:pPr>
    </w:p>
    <w:p w14:paraId="03CEA692" w14:textId="390F46D0" w:rsidR="005A267A" w:rsidRPr="00A8443A" w:rsidRDefault="00385BA0" w:rsidP="005A267A">
      <w:pPr>
        <w:rPr>
          <w:b/>
          <w:sz w:val="32"/>
          <w:szCs w:val="32"/>
        </w:rPr>
      </w:pPr>
      <w:r>
        <w:rPr>
          <w:b/>
          <w:sz w:val="32"/>
          <w:szCs w:val="32"/>
        </w:rPr>
        <w:t>T</w:t>
      </w:r>
      <w:r w:rsidR="005A267A">
        <w:rPr>
          <w:b/>
          <w:sz w:val="32"/>
          <w:szCs w:val="32"/>
        </w:rPr>
        <w:t xml:space="preserve">ehnikuma </w:t>
      </w:r>
      <w:r w:rsidR="005A267A" w:rsidRPr="00A8443A">
        <w:rPr>
          <w:b/>
          <w:sz w:val="32"/>
          <w:szCs w:val="32"/>
        </w:rPr>
        <w:t>CE rezultātu salīdzinājums ar valsts rezultātiem</w:t>
      </w:r>
    </w:p>
    <w:p w14:paraId="29D8CF7C" w14:textId="77777777" w:rsidR="005A267A" w:rsidRPr="00FA1B6C" w:rsidRDefault="005A267A" w:rsidP="005A267A">
      <w:r w:rsidRPr="00FA1B6C">
        <w:rPr>
          <w:b/>
          <w:noProof/>
        </w:rPr>
        <w:drawing>
          <wp:inline distT="0" distB="0" distL="0" distR="0" wp14:anchorId="31BB9B83" wp14:editId="7C33DF24">
            <wp:extent cx="4676775" cy="2333625"/>
            <wp:effectExtent l="0" t="0" r="9525" b="9525"/>
            <wp:docPr id="10" name="Diagramma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D9C9478" w14:textId="77777777" w:rsidR="002F78A2" w:rsidRDefault="002F78A2" w:rsidP="00992EFD">
      <w:pPr>
        <w:pStyle w:val="Sarakstarindkopa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AF8CA48" w14:textId="36639888" w:rsidR="005A267A" w:rsidRPr="00992EFD" w:rsidRDefault="009E1261" w:rsidP="002F78A2">
      <w:pPr>
        <w:pStyle w:val="Sarakstarindkopa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5A267A" w:rsidRPr="002F78A2">
        <w:rPr>
          <w:rFonts w:ascii="Times New Roman" w:hAnsi="Times New Roman" w:cs="Times New Roman"/>
          <w:sz w:val="24"/>
          <w:szCs w:val="24"/>
        </w:rPr>
        <w:t>entralizēt</w:t>
      </w:r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5A267A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67A" w:rsidRPr="002F78A2">
        <w:rPr>
          <w:rFonts w:ascii="Times New Roman" w:hAnsi="Times New Roman" w:cs="Times New Roman"/>
          <w:sz w:val="24"/>
          <w:szCs w:val="24"/>
        </w:rPr>
        <w:t>eksāmen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5A267A" w:rsidRPr="002F78A2">
        <w:rPr>
          <w:rFonts w:ascii="Times New Roman" w:hAnsi="Times New Roman" w:cs="Times New Roman"/>
          <w:sz w:val="24"/>
          <w:szCs w:val="24"/>
        </w:rPr>
        <w:t>,</w:t>
      </w:r>
      <w:r w:rsidR="00992EFD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2EFD" w:rsidRPr="002F78A2">
        <w:rPr>
          <w:rFonts w:ascii="Times New Roman" w:hAnsi="Times New Roman" w:cs="Times New Roman"/>
          <w:sz w:val="24"/>
          <w:szCs w:val="24"/>
        </w:rPr>
        <w:t>rezultāti</w:t>
      </w:r>
      <w:proofErr w:type="spellEnd"/>
      <w:r w:rsidR="00992EFD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2EFD" w:rsidRPr="002F78A2">
        <w:rPr>
          <w:rFonts w:ascii="Times New Roman" w:hAnsi="Times New Roman" w:cs="Times New Roman"/>
          <w:sz w:val="24"/>
          <w:szCs w:val="24"/>
        </w:rPr>
        <w:t>atbilst</w:t>
      </w:r>
      <w:proofErr w:type="spellEnd"/>
      <w:r w:rsidR="00992EFD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2EFD" w:rsidRPr="002F78A2">
        <w:rPr>
          <w:rFonts w:ascii="Times New Roman" w:hAnsi="Times New Roman" w:cs="Times New Roman"/>
          <w:sz w:val="24"/>
          <w:szCs w:val="24"/>
        </w:rPr>
        <w:t>izglītības</w:t>
      </w:r>
      <w:proofErr w:type="spellEnd"/>
      <w:r w:rsidR="00992EFD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2EFD" w:rsidRPr="002F78A2">
        <w:rPr>
          <w:rFonts w:ascii="Times New Roman" w:hAnsi="Times New Roman" w:cs="Times New Roman"/>
          <w:sz w:val="24"/>
          <w:szCs w:val="24"/>
        </w:rPr>
        <w:t>iestādes</w:t>
      </w:r>
      <w:proofErr w:type="spellEnd"/>
      <w:r w:rsidR="00992EFD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2EFD" w:rsidRPr="002F78A2">
        <w:rPr>
          <w:rFonts w:ascii="Times New Roman" w:hAnsi="Times New Roman" w:cs="Times New Roman"/>
          <w:sz w:val="24"/>
          <w:szCs w:val="24"/>
        </w:rPr>
        <w:t>prognozēm</w:t>
      </w:r>
      <w:proofErr w:type="spellEnd"/>
      <w:r w:rsidR="00992EFD" w:rsidRPr="002F78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A267A" w:rsidRPr="002F78A2">
        <w:rPr>
          <w:rFonts w:ascii="Times New Roman" w:hAnsi="Times New Roman" w:cs="Times New Roman"/>
          <w:sz w:val="24"/>
          <w:szCs w:val="24"/>
        </w:rPr>
        <w:t>kontingentam</w:t>
      </w:r>
      <w:proofErr w:type="spellEnd"/>
      <w:r w:rsidR="005A267A" w:rsidRPr="002F78A2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992EFD" w:rsidRPr="002F78A2">
        <w:rPr>
          <w:rFonts w:ascii="Times New Roman" w:hAnsi="Times New Roman" w:cs="Times New Roman"/>
          <w:sz w:val="24"/>
          <w:szCs w:val="24"/>
        </w:rPr>
        <w:t>pamatojoties</w:t>
      </w:r>
      <w:proofErr w:type="spellEnd"/>
      <w:r w:rsidR="00992EFD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2EFD" w:rsidRPr="002F78A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992EFD" w:rsidRPr="002F78A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5A267A" w:rsidRPr="002F78A2">
        <w:rPr>
          <w:rFonts w:ascii="Times New Roman" w:hAnsi="Times New Roman" w:cs="Times New Roman"/>
          <w:sz w:val="24"/>
          <w:szCs w:val="24"/>
        </w:rPr>
        <w:t>saredzam</w:t>
      </w:r>
      <w:proofErr w:type="spellEnd"/>
      <w:r w:rsidR="005A267A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67A" w:rsidRPr="002F78A2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="005A267A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67A" w:rsidRPr="002F78A2">
        <w:rPr>
          <w:rFonts w:ascii="Times New Roman" w:hAnsi="Times New Roman" w:cs="Times New Roman"/>
          <w:sz w:val="24"/>
          <w:szCs w:val="24"/>
        </w:rPr>
        <w:t>riskus</w:t>
      </w:r>
      <w:proofErr w:type="spellEnd"/>
      <w:r w:rsidR="005A267A" w:rsidRPr="002F78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A267A" w:rsidRPr="002F78A2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="005A267A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67A" w:rsidRPr="002F78A2">
        <w:rPr>
          <w:rFonts w:ascii="Times New Roman" w:hAnsi="Times New Roman" w:cs="Times New Roman"/>
          <w:sz w:val="24"/>
          <w:szCs w:val="24"/>
        </w:rPr>
        <w:t>iespējas</w:t>
      </w:r>
      <w:proofErr w:type="spellEnd"/>
      <w:r w:rsidR="005A267A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67A" w:rsidRPr="002F78A2">
        <w:rPr>
          <w:rFonts w:ascii="Times New Roman" w:hAnsi="Times New Roman" w:cs="Times New Roman"/>
          <w:sz w:val="24"/>
          <w:szCs w:val="24"/>
        </w:rPr>
        <w:t>turpmākajam</w:t>
      </w:r>
      <w:proofErr w:type="spellEnd"/>
      <w:r w:rsidR="005A267A" w:rsidRPr="002F78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67A" w:rsidRPr="002F78A2">
        <w:rPr>
          <w:rFonts w:ascii="Times New Roman" w:hAnsi="Times New Roman" w:cs="Times New Roman"/>
          <w:sz w:val="24"/>
          <w:szCs w:val="24"/>
        </w:rPr>
        <w:t>darbam</w:t>
      </w:r>
      <w:proofErr w:type="spellEnd"/>
      <w:r w:rsidR="005A267A" w:rsidRPr="002F78A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Pedagogi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daudz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strādā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individuālajās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konsultācijās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palīdzētu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sagatavoties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eksāmeniem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izglītojamajiem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vēlas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sasniegt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labākus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rezultātus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Bet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tendence, ka </w:t>
      </w:r>
      <w:proofErr w:type="spellStart"/>
      <w:r>
        <w:rPr>
          <w:rFonts w:ascii="Times New Roman" w:hAnsi="Times New Roman" w:cs="Times New Roman"/>
          <w:sz w:val="24"/>
          <w:szCs w:val="24"/>
        </w:rPr>
        <w:t>izglītojamie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apmierināti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ka </w:t>
      </w:r>
      <w:proofErr w:type="spellStart"/>
      <w:r>
        <w:rPr>
          <w:rFonts w:ascii="Times New Roman" w:hAnsi="Times New Roman" w:cs="Times New Roman"/>
          <w:sz w:val="24"/>
          <w:szCs w:val="24"/>
        </w:rPr>
        <w:t>iegūs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kvalifikācijas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apliecību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nesatraucas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 to, ka nav </w:t>
      </w:r>
      <w:proofErr w:type="spellStart"/>
      <w:r>
        <w:rPr>
          <w:rFonts w:ascii="Times New Roman" w:hAnsi="Times New Roman" w:cs="Times New Roman"/>
          <w:sz w:val="24"/>
          <w:szCs w:val="24"/>
        </w:rPr>
        <w:t>iegūta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vidējā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izglītība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7534C0" w14:textId="77777777" w:rsidR="00D85971" w:rsidRDefault="00D85971" w:rsidP="00494AC7">
      <w:pPr>
        <w:rPr>
          <w:i/>
        </w:rPr>
      </w:pPr>
    </w:p>
    <w:sectPr w:rsidR="00D859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E2FE6" w14:textId="77777777" w:rsidR="00B0013E" w:rsidRDefault="00B0013E" w:rsidP="00B0013E">
      <w:r>
        <w:separator/>
      </w:r>
    </w:p>
  </w:endnote>
  <w:endnote w:type="continuationSeparator" w:id="0">
    <w:p w14:paraId="02D72F44" w14:textId="77777777" w:rsidR="00B0013E" w:rsidRDefault="00B0013E" w:rsidP="00B0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67C06" w14:textId="77777777" w:rsidR="00B0013E" w:rsidRDefault="00B0013E" w:rsidP="00B0013E">
      <w:r>
        <w:separator/>
      </w:r>
    </w:p>
  </w:footnote>
  <w:footnote w:type="continuationSeparator" w:id="0">
    <w:p w14:paraId="1A7956DA" w14:textId="77777777" w:rsidR="00B0013E" w:rsidRDefault="00B0013E" w:rsidP="00B00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5039"/>
    <w:multiLevelType w:val="hybridMultilevel"/>
    <w:tmpl w:val="77627BA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4D60"/>
    <w:multiLevelType w:val="hybridMultilevel"/>
    <w:tmpl w:val="EFBCA4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6293F"/>
    <w:multiLevelType w:val="multilevel"/>
    <w:tmpl w:val="1E3426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7F5ADC"/>
    <w:multiLevelType w:val="hybridMultilevel"/>
    <w:tmpl w:val="0A86103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E19AD"/>
    <w:multiLevelType w:val="hybridMultilevel"/>
    <w:tmpl w:val="16E0F17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41008"/>
    <w:multiLevelType w:val="hybridMultilevel"/>
    <w:tmpl w:val="8AD0AF10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315795379">
    <w:abstractNumId w:val="2"/>
  </w:num>
  <w:num w:numId="2" w16cid:durableId="887837741">
    <w:abstractNumId w:val="1"/>
  </w:num>
  <w:num w:numId="3" w16cid:durableId="744961220">
    <w:abstractNumId w:val="4"/>
  </w:num>
  <w:num w:numId="4" w16cid:durableId="1494644005">
    <w:abstractNumId w:val="3"/>
  </w:num>
  <w:num w:numId="5" w16cid:durableId="721831485">
    <w:abstractNumId w:val="0"/>
  </w:num>
  <w:num w:numId="6" w16cid:durableId="18470945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AC7"/>
    <w:rsid w:val="000149F6"/>
    <w:rsid w:val="000327A5"/>
    <w:rsid w:val="00050345"/>
    <w:rsid w:val="000820DB"/>
    <w:rsid w:val="00092967"/>
    <w:rsid w:val="000A1A31"/>
    <w:rsid w:val="00110FC8"/>
    <w:rsid w:val="001229F8"/>
    <w:rsid w:val="00130299"/>
    <w:rsid w:val="001458F4"/>
    <w:rsid w:val="00181796"/>
    <w:rsid w:val="00183A9E"/>
    <w:rsid w:val="0018579A"/>
    <w:rsid w:val="001A2AFE"/>
    <w:rsid w:val="00201882"/>
    <w:rsid w:val="002201D0"/>
    <w:rsid w:val="002D78B0"/>
    <w:rsid w:val="002F728F"/>
    <w:rsid w:val="002F78A2"/>
    <w:rsid w:val="00307553"/>
    <w:rsid w:val="0033142C"/>
    <w:rsid w:val="003363F2"/>
    <w:rsid w:val="00345D44"/>
    <w:rsid w:val="00362F13"/>
    <w:rsid w:val="00385BA0"/>
    <w:rsid w:val="003960D3"/>
    <w:rsid w:val="003A7701"/>
    <w:rsid w:val="003D26D1"/>
    <w:rsid w:val="003D6207"/>
    <w:rsid w:val="00403CFC"/>
    <w:rsid w:val="00404913"/>
    <w:rsid w:val="00445E64"/>
    <w:rsid w:val="004814AB"/>
    <w:rsid w:val="00494AC7"/>
    <w:rsid w:val="004A33BF"/>
    <w:rsid w:val="004B3C46"/>
    <w:rsid w:val="004B77B4"/>
    <w:rsid w:val="004C00F9"/>
    <w:rsid w:val="004D11C3"/>
    <w:rsid w:val="004D3BD5"/>
    <w:rsid w:val="004D3D7E"/>
    <w:rsid w:val="004E6F41"/>
    <w:rsid w:val="004F1707"/>
    <w:rsid w:val="004F5B3A"/>
    <w:rsid w:val="0050649A"/>
    <w:rsid w:val="00513DC8"/>
    <w:rsid w:val="005141A0"/>
    <w:rsid w:val="00514742"/>
    <w:rsid w:val="005552A0"/>
    <w:rsid w:val="005A267A"/>
    <w:rsid w:val="005D4AF3"/>
    <w:rsid w:val="005D77F3"/>
    <w:rsid w:val="005F6D01"/>
    <w:rsid w:val="006106C5"/>
    <w:rsid w:val="006138C2"/>
    <w:rsid w:val="00631914"/>
    <w:rsid w:val="006A7D05"/>
    <w:rsid w:val="006B7C63"/>
    <w:rsid w:val="006D252C"/>
    <w:rsid w:val="006F0D52"/>
    <w:rsid w:val="00705D41"/>
    <w:rsid w:val="007072C8"/>
    <w:rsid w:val="00717878"/>
    <w:rsid w:val="007205BB"/>
    <w:rsid w:val="00790A59"/>
    <w:rsid w:val="007920A8"/>
    <w:rsid w:val="007A3715"/>
    <w:rsid w:val="007C189E"/>
    <w:rsid w:val="007E1CF1"/>
    <w:rsid w:val="00800397"/>
    <w:rsid w:val="00814F47"/>
    <w:rsid w:val="008253A4"/>
    <w:rsid w:val="00833057"/>
    <w:rsid w:val="00857F16"/>
    <w:rsid w:val="008601A4"/>
    <w:rsid w:val="00871259"/>
    <w:rsid w:val="00871DCC"/>
    <w:rsid w:val="008735AC"/>
    <w:rsid w:val="00883CE1"/>
    <w:rsid w:val="00884277"/>
    <w:rsid w:val="008C13EA"/>
    <w:rsid w:val="008D3E40"/>
    <w:rsid w:val="00900BB0"/>
    <w:rsid w:val="009027E1"/>
    <w:rsid w:val="009040C4"/>
    <w:rsid w:val="00915820"/>
    <w:rsid w:val="00933564"/>
    <w:rsid w:val="00943220"/>
    <w:rsid w:val="00947CAE"/>
    <w:rsid w:val="00961940"/>
    <w:rsid w:val="00992EFD"/>
    <w:rsid w:val="009A0BDF"/>
    <w:rsid w:val="009A3B87"/>
    <w:rsid w:val="009A74CE"/>
    <w:rsid w:val="009C12E8"/>
    <w:rsid w:val="009E05B0"/>
    <w:rsid w:val="009E1261"/>
    <w:rsid w:val="009F4F8A"/>
    <w:rsid w:val="00A21E32"/>
    <w:rsid w:val="00A5579B"/>
    <w:rsid w:val="00AC350C"/>
    <w:rsid w:val="00AD0019"/>
    <w:rsid w:val="00AD66BC"/>
    <w:rsid w:val="00AE1090"/>
    <w:rsid w:val="00AE39EE"/>
    <w:rsid w:val="00AE5AE7"/>
    <w:rsid w:val="00AE7F03"/>
    <w:rsid w:val="00AF00DC"/>
    <w:rsid w:val="00AF27E3"/>
    <w:rsid w:val="00AF6BE8"/>
    <w:rsid w:val="00B0013E"/>
    <w:rsid w:val="00B04447"/>
    <w:rsid w:val="00B13665"/>
    <w:rsid w:val="00B233DA"/>
    <w:rsid w:val="00B247A4"/>
    <w:rsid w:val="00B53597"/>
    <w:rsid w:val="00B54ACD"/>
    <w:rsid w:val="00BC2C62"/>
    <w:rsid w:val="00BF6978"/>
    <w:rsid w:val="00C17C1E"/>
    <w:rsid w:val="00C3219A"/>
    <w:rsid w:val="00C81A07"/>
    <w:rsid w:val="00C870C0"/>
    <w:rsid w:val="00C935AF"/>
    <w:rsid w:val="00CA09CF"/>
    <w:rsid w:val="00CB5A2B"/>
    <w:rsid w:val="00CC2659"/>
    <w:rsid w:val="00CC706D"/>
    <w:rsid w:val="00CE3814"/>
    <w:rsid w:val="00D253BD"/>
    <w:rsid w:val="00D52267"/>
    <w:rsid w:val="00D56BAC"/>
    <w:rsid w:val="00D613CA"/>
    <w:rsid w:val="00D80BF6"/>
    <w:rsid w:val="00D81875"/>
    <w:rsid w:val="00D85971"/>
    <w:rsid w:val="00DA4134"/>
    <w:rsid w:val="00DD490A"/>
    <w:rsid w:val="00E049A1"/>
    <w:rsid w:val="00E1268B"/>
    <w:rsid w:val="00E266A8"/>
    <w:rsid w:val="00E70CE2"/>
    <w:rsid w:val="00E80705"/>
    <w:rsid w:val="00EA543B"/>
    <w:rsid w:val="00EC51B6"/>
    <w:rsid w:val="00EE31EC"/>
    <w:rsid w:val="00F47DE4"/>
    <w:rsid w:val="00F93F07"/>
    <w:rsid w:val="00FA79B4"/>
    <w:rsid w:val="00FB7CDC"/>
    <w:rsid w:val="00FE3E33"/>
    <w:rsid w:val="00FF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61432"/>
  <w15:chartTrackingRefBased/>
  <w15:docId w15:val="{214DB3CF-80D8-4929-B59E-AFF56408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94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5">
    <w:name w:val="heading 5"/>
    <w:basedOn w:val="Parasts"/>
    <w:next w:val="Parasts"/>
    <w:link w:val="Virsraksts5Rakstz"/>
    <w:qFormat/>
    <w:rsid w:val="00494AC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5Rakstz">
    <w:name w:val="Virsraksts 5 Rakstz."/>
    <w:basedOn w:val="Noklusjumarindkopasfonts"/>
    <w:link w:val="Virsraksts5"/>
    <w:rsid w:val="00494AC7"/>
    <w:rPr>
      <w:rFonts w:ascii="Times New Roman" w:eastAsia="Times New Roman" w:hAnsi="Times New Roman" w:cs="Times New Roman"/>
      <w:b/>
      <w:bCs/>
      <w:i/>
      <w:iCs/>
      <w:sz w:val="26"/>
      <w:szCs w:val="26"/>
      <w:lang w:eastAsia="lv-LV"/>
    </w:rPr>
  </w:style>
  <w:style w:type="paragraph" w:styleId="Sarakstarindkopa">
    <w:name w:val="List Paragraph"/>
    <w:aliases w:val="Bulletpointi,2,Tabulu virsraksts,Strip,LP1.,H&amp;P List Paragraph,Colorful List - Accent 12,Normal bullet 2,Bullet list,Syle 1,Virsraksti,Saistīto dokumentu saraksts,PPS_Bullet,Numurets,1st level - Bullet List Paragraph"/>
    <w:basedOn w:val="Parasts"/>
    <w:link w:val="SarakstarindkopaRakstz"/>
    <w:uiPriority w:val="34"/>
    <w:qFormat/>
    <w:rsid w:val="005A26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SarakstarindkopaRakstz">
    <w:name w:val="Saraksta rindkopa Rakstz."/>
    <w:aliases w:val="Bulletpointi Rakstz.,2 Rakstz.,Tabulu virsraksts Rakstz.,Strip Rakstz.,LP1. Rakstz.,H&amp;P List Paragraph Rakstz.,Colorful List - Accent 12 Rakstz.,Normal bullet 2 Rakstz.,Bullet list Rakstz.,Syle 1 Rakstz.,Virsraksti Rakstz."/>
    <w:link w:val="Sarakstarindkopa"/>
    <w:uiPriority w:val="34"/>
    <w:qFormat/>
    <w:locked/>
    <w:rsid w:val="005A267A"/>
    <w:rPr>
      <w:lang w:val="en-US"/>
    </w:rPr>
  </w:style>
  <w:style w:type="character" w:customStyle="1" w:styleId="message-author--first-line">
    <w:name w:val="message-author--first-line"/>
    <w:basedOn w:val="Noklusjumarindkopasfonts"/>
    <w:rsid w:val="005141A0"/>
  </w:style>
  <w:style w:type="character" w:customStyle="1" w:styleId="callout-2">
    <w:name w:val="callout-2"/>
    <w:basedOn w:val="Noklusjumarindkopasfonts"/>
    <w:rsid w:val="005141A0"/>
  </w:style>
  <w:style w:type="character" w:customStyle="1" w:styleId="message-authortime">
    <w:name w:val="message-author__time"/>
    <w:basedOn w:val="Noklusjumarindkopasfonts"/>
    <w:rsid w:val="005141A0"/>
  </w:style>
  <w:style w:type="character" w:customStyle="1" w:styleId="caption-text">
    <w:name w:val="caption-text"/>
    <w:basedOn w:val="Noklusjumarindkopasfonts"/>
    <w:rsid w:val="005141A0"/>
  </w:style>
  <w:style w:type="table" w:styleId="Reatabula">
    <w:name w:val="Table Grid"/>
    <w:basedOn w:val="Parastatabula"/>
    <w:uiPriority w:val="39"/>
    <w:rsid w:val="005D4AF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22"/>
    <w:qFormat/>
    <w:rsid w:val="00EC51B6"/>
    <w:rPr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B0013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B0013E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B001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B0013E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5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89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040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v-LV" cap="none"/>
              <a:t>Centralizētais eksāmens angļu valodā, 66 izglītojamie</a:t>
            </a:r>
          </a:p>
        </c:rich>
      </c:tx>
      <c:layout>
        <c:manualLayout>
          <c:xMode val="edge"/>
          <c:yMode val="edge"/>
          <c:x val="0.16538776843991135"/>
          <c:y val="3.85438972162740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Lapa1!$B$1</c:f>
              <c:strCache>
                <c:ptCount val="1"/>
                <c:pt idx="0">
                  <c:v>2023./2024.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Lapa1!$A$2:$A$21</c:f>
              <c:strCache>
                <c:ptCount val="19"/>
                <c:pt idx="0">
                  <c:v>10%</c:v>
                </c:pt>
                <c:pt idx="1">
                  <c:v>11-15%</c:v>
                </c:pt>
                <c:pt idx="2">
                  <c:v>16-19%</c:v>
                </c:pt>
                <c:pt idx="3">
                  <c:v>20%</c:v>
                </c:pt>
                <c:pt idx="4">
                  <c:v>21-25%</c:v>
                </c:pt>
                <c:pt idx="5">
                  <c:v>26-30%</c:v>
                </c:pt>
                <c:pt idx="6">
                  <c:v>31-35%</c:v>
                </c:pt>
                <c:pt idx="7">
                  <c:v>36-40%</c:v>
                </c:pt>
                <c:pt idx="8">
                  <c:v>41-45%</c:v>
                </c:pt>
                <c:pt idx="9">
                  <c:v>46-50%</c:v>
                </c:pt>
                <c:pt idx="10">
                  <c:v>51-55%</c:v>
                </c:pt>
                <c:pt idx="11">
                  <c:v>56-60%</c:v>
                </c:pt>
                <c:pt idx="12">
                  <c:v>61-65%</c:v>
                </c:pt>
                <c:pt idx="13">
                  <c:v>66-70%</c:v>
                </c:pt>
                <c:pt idx="14">
                  <c:v>71-75%</c:v>
                </c:pt>
                <c:pt idx="15">
                  <c:v>76-80%</c:v>
                </c:pt>
                <c:pt idx="16">
                  <c:v>81-85%</c:v>
                </c:pt>
                <c:pt idx="17">
                  <c:v>86-90%</c:v>
                </c:pt>
                <c:pt idx="18">
                  <c:v>Virs 90%</c:v>
                </c:pt>
              </c:strCache>
            </c:strRef>
          </c:cat>
          <c:val>
            <c:numRef>
              <c:f>Lapa1!$B$2:$B$21</c:f>
              <c:numCache>
                <c:formatCode>General</c:formatCode>
                <c:ptCount val="20"/>
                <c:pt idx="1">
                  <c:v>1</c:v>
                </c:pt>
                <c:pt idx="2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4</c:v>
                </c:pt>
                <c:pt idx="8">
                  <c:v>4</c:v>
                </c:pt>
                <c:pt idx="9">
                  <c:v>2</c:v>
                </c:pt>
                <c:pt idx="10">
                  <c:v>2</c:v>
                </c:pt>
                <c:pt idx="11">
                  <c:v>6</c:v>
                </c:pt>
                <c:pt idx="12">
                  <c:v>6</c:v>
                </c:pt>
                <c:pt idx="13">
                  <c:v>5</c:v>
                </c:pt>
                <c:pt idx="14">
                  <c:v>4</c:v>
                </c:pt>
                <c:pt idx="15">
                  <c:v>2</c:v>
                </c:pt>
                <c:pt idx="1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F9-4128-B304-9349BB976A97}"/>
            </c:ext>
          </c:extLst>
        </c:ser>
        <c:ser>
          <c:idx val="1"/>
          <c:order val="1"/>
          <c:tx>
            <c:strRef>
              <c:f>Lapa1!$C$1</c:f>
              <c:strCache>
                <c:ptCount val="1"/>
                <c:pt idx="0">
                  <c:v>2024./2025.2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Lapa1!$A$2:$A$21</c:f>
              <c:strCache>
                <c:ptCount val="19"/>
                <c:pt idx="0">
                  <c:v>10%</c:v>
                </c:pt>
                <c:pt idx="1">
                  <c:v>11-15%</c:v>
                </c:pt>
                <c:pt idx="2">
                  <c:v>16-19%</c:v>
                </c:pt>
                <c:pt idx="3">
                  <c:v>20%</c:v>
                </c:pt>
                <c:pt idx="4">
                  <c:v>21-25%</c:v>
                </c:pt>
                <c:pt idx="5">
                  <c:v>26-30%</c:v>
                </c:pt>
                <c:pt idx="6">
                  <c:v>31-35%</c:v>
                </c:pt>
                <c:pt idx="7">
                  <c:v>36-40%</c:v>
                </c:pt>
                <c:pt idx="8">
                  <c:v>41-45%</c:v>
                </c:pt>
                <c:pt idx="9">
                  <c:v>46-50%</c:v>
                </c:pt>
                <c:pt idx="10">
                  <c:v>51-55%</c:v>
                </c:pt>
                <c:pt idx="11">
                  <c:v>56-60%</c:v>
                </c:pt>
                <c:pt idx="12">
                  <c:v>61-65%</c:v>
                </c:pt>
                <c:pt idx="13">
                  <c:v>66-70%</c:v>
                </c:pt>
                <c:pt idx="14">
                  <c:v>71-75%</c:v>
                </c:pt>
                <c:pt idx="15">
                  <c:v>76-80%</c:v>
                </c:pt>
                <c:pt idx="16">
                  <c:v>81-85%</c:v>
                </c:pt>
                <c:pt idx="17">
                  <c:v>86-90%</c:v>
                </c:pt>
                <c:pt idx="18">
                  <c:v>Virs 90%</c:v>
                </c:pt>
              </c:strCache>
            </c:strRef>
          </c:cat>
          <c:val>
            <c:numRef>
              <c:f>Lapa1!$C$2:$C$21</c:f>
              <c:numCache>
                <c:formatCode>General</c:formatCode>
                <c:ptCount val="20"/>
                <c:pt idx="0">
                  <c:v>3</c:v>
                </c:pt>
                <c:pt idx="1">
                  <c:v>1</c:v>
                </c:pt>
                <c:pt idx="4">
                  <c:v>3</c:v>
                </c:pt>
                <c:pt idx="5">
                  <c:v>3</c:v>
                </c:pt>
                <c:pt idx="6">
                  <c:v>2</c:v>
                </c:pt>
                <c:pt idx="7">
                  <c:v>7</c:v>
                </c:pt>
                <c:pt idx="8">
                  <c:v>4</c:v>
                </c:pt>
                <c:pt idx="9">
                  <c:v>3</c:v>
                </c:pt>
                <c:pt idx="10">
                  <c:v>6</c:v>
                </c:pt>
                <c:pt idx="11">
                  <c:v>3</c:v>
                </c:pt>
                <c:pt idx="12">
                  <c:v>6</c:v>
                </c:pt>
                <c:pt idx="13">
                  <c:v>9</c:v>
                </c:pt>
                <c:pt idx="14">
                  <c:v>5</c:v>
                </c:pt>
                <c:pt idx="15">
                  <c:v>4</c:v>
                </c:pt>
                <c:pt idx="16">
                  <c:v>3</c:v>
                </c:pt>
                <c:pt idx="1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F9-4128-B304-9349BB976A97}"/>
            </c:ext>
          </c:extLst>
        </c:ser>
        <c:ser>
          <c:idx val="2"/>
          <c:order val="2"/>
          <c:tx>
            <c:strRef>
              <c:f>Lapa1!$D$1</c:f>
              <c:strCache>
                <c:ptCount val="1"/>
                <c:pt idx="0">
                  <c:v>2025./2026.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Lapa1!$A$2:$A$21</c:f>
              <c:strCache>
                <c:ptCount val="19"/>
                <c:pt idx="0">
                  <c:v>10%</c:v>
                </c:pt>
                <c:pt idx="1">
                  <c:v>11-15%</c:v>
                </c:pt>
                <c:pt idx="2">
                  <c:v>16-19%</c:v>
                </c:pt>
                <c:pt idx="3">
                  <c:v>20%</c:v>
                </c:pt>
                <c:pt idx="4">
                  <c:v>21-25%</c:v>
                </c:pt>
                <c:pt idx="5">
                  <c:v>26-30%</c:v>
                </c:pt>
                <c:pt idx="6">
                  <c:v>31-35%</c:v>
                </c:pt>
                <c:pt idx="7">
                  <c:v>36-40%</c:v>
                </c:pt>
                <c:pt idx="8">
                  <c:v>41-45%</c:v>
                </c:pt>
                <c:pt idx="9">
                  <c:v>46-50%</c:v>
                </c:pt>
                <c:pt idx="10">
                  <c:v>51-55%</c:v>
                </c:pt>
                <c:pt idx="11">
                  <c:v>56-60%</c:v>
                </c:pt>
                <c:pt idx="12">
                  <c:v>61-65%</c:v>
                </c:pt>
                <c:pt idx="13">
                  <c:v>66-70%</c:v>
                </c:pt>
                <c:pt idx="14">
                  <c:v>71-75%</c:v>
                </c:pt>
                <c:pt idx="15">
                  <c:v>76-80%</c:v>
                </c:pt>
                <c:pt idx="16">
                  <c:v>81-85%</c:v>
                </c:pt>
                <c:pt idx="17">
                  <c:v>86-90%</c:v>
                </c:pt>
                <c:pt idx="18">
                  <c:v>Virs 90%</c:v>
                </c:pt>
              </c:strCache>
            </c:strRef>
          </c:cat>
          <c:val>
            <c:numRef>
              <c:f>Lapa1!$D$2:$D$21</c:f>
              <c:numCache>
                <c:formatCode>General</c:formatCode>
                <c:ptCount val="20"/>
                <c:pt idx="4">
                  <c:v>3</c:v>
                </c:pt>
                <c:pt idx="7">
                  <c:v>5</c:v>
                </c:pt>
                <c:pt idx="8">
                  <c:v>3</c:v>
                </c:pt>
                <c:pt idx="9">
                  <c:v>5</c:v>
                </c:pt>
                <c:pt idx="10">
                  <c:v>7</c:v>
                </c:pt>
                <c:pt idx="11">
                  <c:v>10</c:v>
                </c:pt>
                <c:pt idx="12">
                  <c:v>5</c:v>
                </c:pt>
                <c:pt idx="13">
                  <c:v>9</c:v>
                </c:pt>
                <c:pt idx="14">
                  <c:v>7</c:v>
                </c:pt>
                <c:pt idx="15">
                  <c:v>5</c:v>
                </c:pt>
                <c:pt idx="16">
                  <c:v>6</c:v>
                </c:pt>
                <c:pt idx="1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8F9-4128-B304-9349BB976A9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97373304"/>
        <c:axId val="297683256"/>
      </c:barChart>
      <c:catAx>
        <c:axId val="2973733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97683256"/>
        <c:crosses val="autoZero"/>
        <c:auto val="1"/>
        <c:lblAlgn val="ctr"/>
        <c:lblOffset val="100"/>
        <c:noMultiLvlLbl val="0"/>
      </c:catAx>
      <c:valAx>
        <c:axId val="29768325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97373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v-LV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v-LV"/>
              <a:t>Centralizētais eksāmens latviešu valodā, 67 izglītojamie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Lapa1!$B$1</c:f>
              <c:strCache>
                <c:ptCount val="1"/>
                <c:pt idx="0">
                  <c:v>2023./2024.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Lapa1!$A$2:$A$17</c:f>
              <c:strCache>
                <c:ptCount val="15"/>
                <c:pt idx="0">
                  <c:v>10%</c:v>
                </c:pt>
                <c:pt idx="1">
                  <c:v>11-15%</c:v>
                </c:pt>
                <c:pt idx="2">
                  <c:v>16-19%</c:v>
                </c:pt>
                <c:pt idx="3">
                  <c:v>20%</c:v>
                </c:pt>
                <c:pt idx="4">
                  <c:v>21-25%</c:v>
                </c:pt>
                <c:pt idx="5">
                  <c:v>26-30%</c:v>
                </c:pt>
                <c:pt idx="6">
                  <c:v>31-35%</c:v>
                </c:pt>
                <c:pt idx="7">
                  <c:v>36-4%</c:v>
                </c:pt>
                <c:pt idx="8">
                  <c:v>41-45%</c:v>
                </c:pt>
                <c:pt idx="9">
                  <c:v>46-50%</c:v>
                </c:pt>
                <c:pt idx="10">
                  <c:v>51-55%</c:v>
                </c:pt>
                <c:pt idx="11">
                  <c:v>56-60%</c:v>
                </c:pt>
                <c:pt idx="12">
                  <c:v>61-65%</c:v>
                </c:pt>
                <c:pt idx="13">
                  <c:v>66-70%</c:v>
                </c:pt>
                <c:pt idx="14">
                  <c:v>71-75%</c:v>
                </c:pt>
              </c:strCache>
            </c:strRef>
          </c:cat>
          <c:val>
            <c:numRef>
              <c:f>Lapa1!$B$2:$B$17</c:f>
              <c:numCache>
                <c:formatCode>General</c:formatCode>
                <c:ptCount val="16"/>
                <c:pt idx="1">
                  <c:v>1</c:v>
                </c:pt>
                <c:pt idx="2">
                  <c:v>1</c:v>
                </c:pt>
                <c:pt idx="7">
                  <c:v>4</c:v>
                </c:pt>
                <c:pt idx="8">
                  <c:v>6</c:v>
                </c:pt>
                <c:pt idx="9">
                  <c:v>9</c:v>
                </c:pt>
                <c:pt idx="10">
                  <c:v>8</c:v>
                </c:pt>
                <c:pt idx="11">
                  <c:v>4</c:v>
                </c:pt>
                <c:pt idx="12">
                  <c:v>4</c:v>
                </c:pt>
                <c:pt idx="1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DE-47DB-9DC1-CFD98E0BEF0B}"/>
            </c:ext>
          </c:extLst>
        </c:ser>
        <c:ser>
          <c:idx val="0"/>
          <c:order val="1"/>
          <c:tx>
            <c:strRef>
              <c:f>Lapa1!$C$1</c:f>
              <c:strCache>
                <c:ptCount val="1"/>
                <c:pt idx="0">
                  <c:v>2024./2025.2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Lapa1!$A$2:$A$17</c:f>
              <c:strCache>
                <c:ptCount val="15"/>
                <c:pt idx="0">
                  <c:v>10%</c:v>
                </c:pt>
                <c:pt idx="1">
                  <c:v>11-15%</c:v>
                </c:pt>
                <c:pt idx="2">
                  <c:v>16-19%</c:v>
                </c:pt>
                <c:pt idx="3">
                  <c:v>20%</c:v>
                </c:pt>
                <c:pt idx="4">
                  <c:v>21-25%</c:v>
                </c:pt>
                <c:pt idx="5">
                  <c:v>26-30%</c:v>
                </c:pt>
                <c:pt idx="6">
                  <c:v>31-35%</c:v>
                </c:pt>
                <c:pt idx="7">
                  <c:v>36-4%</c:v>
                </c:pt>
                <c:pt idx="8">
                  <c:v>41-45%</c:v>
                </c:pt>
                <c:pt idx="9">
                  <c:v>46-50%</c:v>
                </c:pt>
                <c:pt idx="10">
                  <c:v>51-55%</c:v>
                </c:pt>
                <c:pt idx="11">
                  <c:v>56-60%</c:v>
                </c:pt>
                <c:pt idx="12">
                  <c:v>61-65%</c:v>
                </c:pt>
                <c:pt idx="13">
                  <c:v>66-70%</c:v>
                </c:pt>
                <c:pt idx="14">
                  <c:v>71-75%</c:v>
                </c:pt>
              </c:strCache>
            </c:strRef>
          </c:cat>
          <c:val>
            <c:numRef>
              <c:f>Lapa1!$C$2:$C$17</c:f>
              <c:numCache>
                <c:formatCode>General</c:formatCode>
                <c:ptCount val="16"/>
                <c:pt idx="1">
                  <c:v>2</c:v>
                </c:pt>
                <c:pt idx="5">
                  <c:v>3</c:v>
                </c:pt>
                <c:pt idx="6">
                  <c:v>3</c:v>
                </c:pt>
                <c:pt idx="7">
                  <c:v>6</c:v>
                </c:pt>
                <c:pt idx="8">
                  <c:v>7</c:v>
                </c:pt>
                <c:pt idx="9">
                  <c:v>13</c:v>
                </c:pt>
                <c:pt idx="10">
                  <c:v>7</c:v>
                </c:pt>
                <c:pt idx="11">
                  <c:v>6</c:v>
                </c:pt>
                <c:pt idx="12">
                  <c:v>10</c:v>
                </c:pt>
                <c:pt idx="1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ADE-47DB-9DC1-CFD98E0BEF0B}"/>
            </c:ext>
          </c:extLst>
        </c:ser>
        <c:ser>
          <c:idx val="2"/>
          <c:order val="2"/>
          <c:tx>
            <c:strRef>
              <c:f>Lapa1!$D$1</c:f>
              <c:strCache>
                <c:ptCount val="1"/>
                <c:pt idx="0">
                  <c:v>2025./2026.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Lapa1!$A$2:$A$17</c:f>
              <c:strCache>
                <c:ptCount val="15"/>
                <c:pt idx="0">
                  <c:v>10%</c:v>
                </c:pt>
                <c:pt idx="1">
                  <c:v>11-15%</c:v>
                </c:pt>
                <c:pt idx="2">
                  <c:v>16-19%</c:v>
                </c:pt>
                <c:pt idx="3">
                  <c:v>20%</c:v>
                </c:pt>
                <c:pt idx="4">
                  <c:v>21-25%</c:v>
                </c:pt>
                <c:pt idx="5">
                  <c:v>26-30%</c:v>
                </c:pt>
                <c:pt idx="6">
                  <c:v>31-35%</c:v>
                </c:pt>
                <c:pt idx="7">
                  <c:v>36-4%</c:v>
                </c:pt>
                <c:pt idx="8">
                  <c:v>41-45%</c:v>
                </c:pt>
                <c:pt idx="9">
                  <c:v>46-50%</c:v>
                </c:pt>
                <c:pt idx="10">
                  <c:v>51-55%</c:v>
                </c:pt>
                <c:pt idx="11">
                  <c:v>56-60%</c:v>
                </c:pt>
                <c:pt idx="12">
                  <c:v>61-65%</c:v>
                </c:pt>
                <c:pt idx="13">
                  <c:v>66-70%</c:v>
                </c:pt>
                <c:pt idx="14">
                  <c:v>71-75%</c:v>
                </c:pt>
              </c:strCache>
            </c:strRef>
          </c:cat>
          <c:val>
            <c:numRef>
              <c:f>Lapa1!$D$2:$D$17</c:f>
              <c:numCache>
                <c:formatCode>General</c:formatCode>
                <c:ptCount val="16"/>
                <c:pt idx="4">
                  <c:v>2</c:v>
                </c:pt>
                <c:pt idx="5">
                  <c:v>4</c:v>
                </c:pt>
                <c:pt idx="6">
                  <c:v>4</c:v>
                </c:pt>
                <c:pt idx="7">
                  <c:v>4</c:v>
                </c:pt>
                <c:pt idx="8">
                  <c:v>5</c:v>
                </c:pt>
                <c:pt idx="9">
                  <c:v>8</c:v>
                </c:pt>
                <c:pt idx="10">
                  <c:v>15</c:v>
                </c:pt>
                <c:pt idx="11">
                  <c:v>14</c:v>
                </c:pt>
                <c:pt idx="12">
                  <c:v>6</c:v>
                </c:pt>
                <c:pt idx="13">
                  <c:v>3</c:v>
                </c:pt>
                <c:pt idx="1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ADE-47DB-9DC1-CFD98E0BEF0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97339864"/>
        <c:axId val="297340248"/>
      </c:barChart>
      <c:catAx>
        <c:axId val="2973398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97340248"/>
        <c:crosses val="autoZero"/>
        <c:auto val="1"/>
        <c:lblAlgn val="ctr"/>
        <c:lblOffset val="100"/>
        <c:noMultiLvlLbl val="0"/>
      </c:catAx>
      <c:valAx>
        <c:axId val="29734024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97339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v-LV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v-LV"/>
              <a:t>VIAA centralizētais eksāmens matemātikā OL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Lapa1!$B$1</c:f>
              <c:strCache>
                <c:ptCount val="1"/>
                <c:pt idx="0">
                  <c:v>2023./2024.m.g.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Lapa1!$A$2:$A$12</c:f>
              <c:strCache>
                <c:ptCount val="11"/>
                <c:pt idx="0">
                  <c:v>1-15%</c:v>
                </c:pt>
                <c:pt idx="1">
                  <c:v>15%</c:v>
                </c:pt>
                <c:pt idx="2">
                  <c:v>16-19%</c:v>
                </c:pt>
                <c:pt idx="3">
                  <c:v>20%</c:v>
                </c:pt>
                <c:pt idx="4">
                  <c:v>21-25%</c:v>
                </c:pt>
                <c:pt idx="5">
                  <c:v>26-30%</c:v>
                </c:pt>
                <c:pt idx="6">
                  <c:v>31-35%</c:v>
                </c:pt>
                <c:pt idx="7">
                  <c:v>36-40%</c:v>
                </c:pt>
                <c:pt idx="8">
                  <c:v>41-45%</c:v>
                </c:pt>
                <c:pt idx="9">
                  <c:v>46-50%</c:v>
                </c:pt>
                <c:pt idx="10">
                  <c:v>vidēji %</c:v>
                </c:pt>
              </c:strCache>
            </c:strRef>
          </c:cat>
          <c:val>
            <c:numRef>
              <c:f>Lapa1!$B$2:$B$12</c:f>
              <c:numCache>
                <c:formatCode>General</c:formatCode>
                <c:ptCount val="11"/>
                <c:pt idx="0">
                  <c:v>27</c:v>
                </c:pt>
                <c:pt idx="2">
                  <c:v>7</c:v>
                </c:pt>
                <c:pt idx="4">
                  <c:v>5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10">
                  <c:v>14.2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41-423D-9B53-E0757745CB44}"/>
            </c:ext>
          </c:extLst>
        </c:ser>
        <c:ser>
          <c:idx val="1"/>
          <c:order val="1"/>
          <c:tx>
            <c:strRef>
              <c:f>Lapa1!$C$1</c:f>
              <c:strCache>
                <c:ptCount val="1"/>
                <c:pt idx="0">
                  <c:v>2024./2025.m.g.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Lapa1!$A$2:$A$12</c:f>
              <c:strCache>
                <c:ptCount val="11"/>
                <c:pt idx="0">
                  <c:v>1-15%</c:v>
                </c:pt>
                <c:pt idx="1">
                  <c:v>15%</c:v>
                </c:pt>
                <c:pt idx="2">
                  <c:v>16-19%</c:v>
                </c:pt>
                <c:pt idx="3">
                  <c:v>20%</c:v>
                </c:pt>
                <c:pt idx="4">
                  <c:v>21-25%</c:v>
                </c:pt>
                <c:pt idx="5">
                  <c:v>26-30%</c:v>
                </c:pt>
                <c:pt idx="6">
                  <c:v>31-35%</c:v>
                </c:pt>
                <c:pt idx="7">
                  <c:v>36-40%</c:v>
                </c:pt>
                <c:pt idx="8">
                  <c:v>41-45%</c:v>
                </c:pt>
                <c:pt idx="9">
                  <c:v>46-50%</c:v>
                </c:pt>
                <c:pt idx="10">
                  <c:v>vidēji %</c:v>
                </c:pt>
              </c:strCache>
            </c:strRef>
          </c:cat>
          <c:val>
            <c:numRef>
              <c:f>Lapa1!$C$2:$C$12</c:f>
              <c:numCache>
                <c:formatCode>General</c:formatCode>
                <c:ptCount val="11"/>
                <c:pt idx="0">
                  <c:v>44</c:v>
                </c:pt>
                <c:pt idx="1">
                  <c:v>2</c:v>
                </c:pt>
                <c:pt idx="2">
                  <c:v>2</c:v>
                </c:pt>
                <c:pt idx="3">
                  <c:v>4</c:v>
                </c:pt>
                <c:pt idx="4">
                  <c:v>7</c:v>
                </c:pt>
                <c:pt idx="5">
                  <c:v>4</c:v>
                </c:pt>
                <c:pt idx="6">
                  <c:v>4</c:v>
                </c:pt>
                <c:pt idx="7">
                  <c:v>3</c:v>
                </c:pt>
                <c:pt idx="8">
                  <c:v>2</c:v>
                </c:pt>
                <c:pt idx="9">
                  <c:v>1</c:v>
                </c:pt>
                <c:pt idx="10">
                  <c:v>14.8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041-423D-9B53-E0757745CB44}"/>
            </c:ext>
          </c:extLst>
        </c:ser>
        <c:ser>
          <c:idx val="2"/>
          <c:order val="2"/>
          <c:tx>
            <c:strRef>
              <c:f>Lapa1!$D$1</c:f>
              <c:strCache>
                <c:ptCount val="1"/>
                <c:pt idx="0">
                  <c:v>2025./2026.m.g.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Lapa1!$A$2:$A$12</c:f>
              <c:strCache>
                <c:ptCount val="11"/>
                <c:pt idx="0">
                  <c:v>1-15%</c:v>
                </c:pt>
                <c:pt idx="1">
                  <c:v>15%</c:v>
                </c:pt>
                <c:pt idx="2">
                  <c:v>16-19%</c:v>
                </c:pt>
                <c:pt idx="3">
                  <c:v>20%</c:v>
                </c:pt>
                <c:pt idx="4">
                  <c:v>21-25%</c:v>
                </c:pt>
                <c:pt idx="5">
                  <c:v>26-30%</c:v>
                </c:pt>
                <c:pt idx="6">
                  <c:v>31-35%</c:v>
                </c:pt>
                <c:pt idx="7">
                  <c:v>36-40%</c:v>
                </c:pt>
                <c:pt idx="8">
                  <c:v>41-45%</c:v>
                </c:pt>
                <c:pt idx="9">
                  <c:v>46-50%</c:v>
                </c:pt>
                <c:pt idx="10">
                  <c:v>vidēji %</c:v>
                </c:pt>
              </c:strCache>
            </c:strRef>
          </c:cat>
          <c:val>
            <c:numRef>
              <c:f>Lapa1!$D$2:$D$12</c:f>
              <c:numCache>
                <c:formatCode>General</c:formatCode>
                <c:ptCount val="11"/>
                <c:pt idx="0">
                  <c:v>43</c:v>
                </c:pt>
                <c:pt idx="2">
                  <c:v>8</c:v>
                </c:pt>
                <c:pt idx="3">
                  <c:v>3</c:v>
                </c:pt>
                <c:pt idx="4">
                  <c:v>16</c:v>
                </c:pt>
                <c:pt idx="5">
                  <c:v>3</c:v>
                </c:pt>
                <c:pt idx="6">
                  <c:v>5</c:v>
                </c:pt>
                <c:pt idx="7">
                  <c:v>4</c:v>
                </c:pt>
                <c:pt idx="9">
                  <c:v>1</c:v>
                </c:pt>
                <c:pt idx="10">
                  <c:v>18.97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041-423D-9B53-E0757745CB4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858380496"/>
        <c:axId val="858400656"/>
      </c:barChart>
      <c:catAx>
        <c:axId val="8583804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858400656"/>
        <c:crosses val="autoZero"/>
        <c:auto val="1"/>
        <c:lblAlgn val="ctr"/>
        <c:lblOffset val="100"/>
        <c:noMultiLvlLbl val="0"/>
      </c:catAx>
      <c:valAx>
        <c:axId val="85840065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858380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v-LV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Lapa1!$B$1</c:f>
              <c:strCache>
                <c:ptCount val="1"/>
                <c:pt idx="0">
                  <c:v>Valstī 2024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Lapa1!$A$2:$A$4</c:f>
              <c:strCache>
                <c:ptCount val="3"/>
                <c:pt idx="0">
                  <c:v>Matemātika OL</c:v>
                </c:pt>
                <c:pt idx="1">
                  <c:v>Latviešu val.OL</c:v>
                </c:pt>
                <c:pt idx="2">
                  <c:v>Angļu val. OL</c:v>
                </c:pt>
              </c:strCache>
            </c:strRef>
          </c:cat>
          <c:val>
            <c:numRef>
              <c:f>Lapa1!$B$2:$B$4</c:f>
              <c:numCache>
                <c:formatCode>General</c:formatCode>
                <c:ptCount val="3"/>
                <c:pt idx="0">
                  <c:v>34.299999999999997</c:v>
                </c:pt>
                <c:pt idx="1">
                  <c:v>55.4</c:v>
                </c:pt>
                <c:pt idx="2">
                  <c:v>61.9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34-40D3-A8DA-B1B79C426A21}"/>
            </c:ext>
          </c:extLst>
        </c:ser>
        <c:ser>
          <c:idx val="1"/>
          <c:order val="1"/>
          <c:tx>
            <c:strRef>
              <c:f>Lapa1!$C$1</c:f>
              <c:strCache>
                <c:ptCount val="1"/>
                <c:pt idx="0">
                  <c:v>KTTT 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Lapa1!$A$2:$A$4</c:f>
              <c:strCache>
                <c:ptCount val="3"/>
                <c:pt idx="0">
                  <c:v>Matemātika OL</c:v>
                </c:pt>
                <c:pt idx="1">
                  <c:v>Latviešu val.OL</c:v>
                </c:pt>
                <c:pt idx="2">
                  <c:v>Angļu val. OL</c:v>
                </c:pt>
              </c:strCache>
            </c:strRef>
          </c:cat>
          <c:val>
            <c:numRef>
              <c:f>Lapa1!$C$2:$C$4</c:f>
              <c:numCache>
                <c:formatCode>General</c:formatCode>
                <c:ptCount val="3"/>
                <c:pt idx="0">
                  <c:v>14.2</c:v>
                </c:pt>
                <c:pt idx="1">
                  <c:v>52.16</c:v>
                </c:pt>
                <c:pt idx="2">
                  <c:v>53.72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34-40D3-A8DA-B1B79C426A21}"/>
            </c:ext>
          </c:extLst>
        </c:ser>
        <c:ser>
          <c:idx val="2"/>
          <c:order val="2"/>
          <c:tx>
            <c:strRef>
              <c:f>Lapa1!$D$1</c:f>
              <c:strCache>
                <c:ptCount val="1"/>
                <c:pt idx="0">
                  <c:v>Valstī 2025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Lapa1!$A$2:$A$4</c:f>
              <c:strCache>
                <c:ptCount val="3"/>
                <c:pt idx="0">
                  <c:v>Matemātika OL</c:v>
                </c:pt>
                <c:pt idx="1">
                  <c:v>Latviešu val.OL</c:v>
                </c:pt>
                <c:pt idx="2">
                  <c:v>Angļu val. OL</c:v>
                </c:pt>
              </c:strCache>
            </c:strRef>
          </c:cat>
          <c:val>
            <c:numRef>
              <c:f>Lapa1!$D$2:$D$4</c:f>
              <c:numCache>
                <c:formatCode>General</c:formatCode>
                <c:ptCount val="3"/>
                <c:pt idx="0">
                  <c:v>43.72</c:v>
                </c:pt>
                <c:pt idx="1">
                  <c:v>55.97</c:v>
                </c:pt>
                <c:pt idx="2">
                  <c:v>62.58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34-40D3-A8DA-B1B79C426A21}"/>
            </c:ext>
          </c:extLst>
        </c:ser>
        <c:ser>
          <c:idx val="3"/>
          <c:order val="3"/>
          <c:tx>
            <c:strRef>
              <c:f>Lapa1!$E$1</c:f>
              <c:strCache>
                <c:ptCount val="1"/>
                <c:pt idx="0">
                  <c:v>KTTT 2025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Lapa1!$A$2:$A$4</c:f>
              <c:strCache>
                <c:ptCount val="3"/>
                <c:pt idx="0">
                  <c:v>Matemātika OL</c:v>
                </c:pt>
                <c:pt idx="1">
                  <c:v>Latviešu val.OL</c:v>
                </c:pt>
                <c:pt idx="2">
                  <c:v>Angļu val. OL</c:v>
                </c:pt>
              </c:strCache>
            </c:strRef>
          </c:cat>
          <c:val>
            <c:numRef>
              <c:f>Lapa1!$E$2:$E$4</c:f>
              <c:numCache>
                <c:formatCode>General</c:formatCode>
                <c:ptCount val="3"/>
                <c:pt idx="0">
                  <c:v>14.8</c:v>
                </c:pt>
                <c:pt idx="1">
                  <c:v>48.6</c:v>
                </c:pt>
                <c:pt idx="2">
                  <c:v>52.5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434-40D3-A8DA-B1B79C426A21}"/>
            </c:ext>
          </c:extLst>
        </c:ser>
        <c:ser>
          <c:idx val="4"/>
          <c:order val="4"/>
          <c:tx>
            <c:strRef>
              <c:f>Lapa1!$F$1</c:f>
              <c:strCache>
                <c:ptCount val="1"/>
                <c:pt idx="0">
                  <c:v>Valstī 2026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Lapa1!$A$2:$A$4</c:f>
              <c:strCache>
                <c:ptCount val="3"/>
                <c:pt idx="0">
                  <c:v>Matemātika OL</c:v>
                </c:pt>
                <c:pt idx="1">
                  <c:v>Latviešu val.OL</c:v>
                </c:pt>
                <c:pt idx="2">
                  <c:v>Angļu val. OL</c:v>
                </c:pt>
              </c:strCache>
            </c:strRef>
          </c:cat>
          <c:val>
            <c:numRef>
              <c:f>Lapa1!$F$2:$F$4</c:f>
              <c:numCache>
                <c:formatCode>General</c:formatCode>
                <c:ptCount val="3"/>
                <c:pt idx="0">
                  <c:v>42.4</c:v>
                </c:pt>
                <c:pt idx="1">
                  <c:v>58.9</c:v>
                </c:pt>
                <c:pt idx="2">
                  <c:v>67.3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434-40D3-A8DA-B1B79C426A21}"/>
            </c:ext>
          </c:extLst>
        </c:ser>
        <c:ser>
          <c:idx val="5"/>
          <c:order val="5"/>
          <c:tx>
            <c:strRef>
              <c:f>Lapa1!$G$1</c:f>
              <c:strCache>
                <c:ptCount val="1"/>
                <c:pt idx="0">
                  <c:v>KTTT 2026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Lapa1!$A$2:$A$4</c:f>
              <c:strCache>
                <c:ptCount val="3"/>
                <c:pt idx="0">
                  <c:v>Matemātika OL</c:v>
                </c:pt>
                <c:pt idx="1">
                  <c:v>Latviešu val.OL</c:v>
                </c:pt>
                <c:pt idx="2">
                  <c:v>Angļu val. OL</c:v>
                </c:pt>
              </c:strCache>
            </c:strRef>
          </c:cat>
          <c:val>
            <c:numRef>
              <c:f>Lapa1!$G$2:$G$4</c:f>
              <c:numCache>
                <c:formatCode>General</c:formatCode>
                <c:ptCount val="3"/>
                <c:pt idx="0">
                  <c:v>18.97</c:v>
                </c:pt>
                <c:pt idx="1">
                  <c:v>50.07</c:v>
                </c:pt>
                <c:pt idx="2">
                  <c:v>60.55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434-40D3-A8DA-B1B79C426A2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298202280"/>
        <c:axId val="295686848"/>
      </c:barChart>
      <c:catAx>
        <c:axId val="298202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95686848"/>
        <c:crosses val="autoZero"/>
        <c:auto val="1"/>
        <c:lblAlgn val="ctr"/>
        <c:lblOffset val="100"/>
        <c:noMultiLvlLbl val="0"/>
      </c:catAx>
      <c:valAx>
        <c:axId val="29568684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98202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v-LV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2192</Words>
  <Characters>1251</Characters>
  <Application>Microsoft Office Word</Application>
  <DocSecurity>0</DocSecurity>
  <Lines>10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Parzine</dc:creator>
  <cp:keywords/>
  <dc:description/>
  <cp:lastModifiedBy>Parzine</cp:lastModifiedBy>
  <cp:revision>8</cp:revision>
  <dcterms:created xsi:type="dcterms:W3CDTF">2026-10-05T06:08:00Z</dcterms:created>
  <dcterms:modified xsi:type="dcterms:W3CDTF">2026-10-05T11:29:00Z</dcterms:modified>
</cp:coreProperties>
</file>